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129B" w14:textId="7FE7749A" w:rsidR="00B62FF8" w:rsidRDefault="00302EA3" w:rsidP="004C32F0">
      <w:pPr>
        <w:pStyle w:val="Title"/>
        <w:ind w:left="714" w:hanging="856"/>
        <w:rPr>
          <w:sz w:val="44"/>
          <w:szCs w:val="44"/>
        </w:rPr>
      </w:pPr>
      <w:bookmarkStart w:id="0" w:name="_GoBack"/>
      <w:bookmarkEnd w:id="0"/>
      <w:r w:rsidRPr="000D4B75">
        <w:rPr>
          <w:sz w:val="44"/>
          <w:szCs w:val="44"/>
        </w:rPr>
        <w:t>Practice Nurse Incentive Program</w:t>
      </w:r>
      <w:r w:rsidR="001A5530" w:rsidRPr="000D4B75">
        <w:rPr>
          <w:sz w:val="44"/>
          <w:szCs w:val="44"/>
        </w:rPr>
        <w:t xml:space="preserve"> Guidelines</w:t>
      </w:r>
    </w:p>
    <w:p w14:paraId="1C2653E5" w14:textId="1257009A" w:rsidR="006C57E6" w:rsidRPr="006C57E6" w:rsidRDefault="006C57E6" w:rsidP="006C57E6">
      <w:pPr>
        <w:ind w:left="11"/>
        <w:jc w:val="both"/>
        <w:rPr>
          <w:rFonts w:asciiTheme="minorHAnsi" w:hAnsiTheme="minorHAnsi"/>
          <w:sz w:val="32"/>
          <w:szCs w:val="32"/>
        </w:rPr>
      </w:pPr>
      <w:r w:rsidRPr="00E346BC">
        <w:rPr>
          <w:rFonts w:asciiTheme="minorHAnsi" w:hAnsiTheme="minorHAnsi"/>
          <w:color w:val="00B0F0"/>
          <w:sz w:val="32"/>
          <w:szCs w:val="32"/>
        </w:rPr>
        <w:t>Contents</w:t>
      </w:r>
    </w:p>
    <w:p w14:paraId="4F028858" w14:textId="77777777" w:rsidR="00E346BC" w:rsidRDefault="00346717">
      <w:pPr>
        <w:pStyle w:val="TOC1"/>
        <w:tabs>
          <w:tab w:val="right" w:leader="dot" w:pos="10445"/>
        </w:tabs>
        <w:rPr>
          <w:rFonts w:eastAsiaTheme="minorEastAsia" w:cstheme="minorBidi"/>
          <w:b w:val="0"/>
          <w:bCs w:val="0"/>
          <w:noProof/>
          <w:color w:val="auto"/>
          <w:sz w:val="22"/>
          <w:szCs w:val="22"/>
        </w:rPr>
      </w:pPr>
      <w:r>
        <w:fldChar w:fldCharType="begin"/>
      </w:r>
      <w:r>
        <w:instrText xml:space="preserve"> TOC \o "1-3" \h \z \u </w:instrText>
      </w:r>
      <w:r>
        <w:fldChar w:fldCharType="separate"/>
      </w:r>
      <w:hyperlink w:anchor="_Toc490491595" w:history="1">
        <w:r w:rsidR="00E346BC" w:rsidRPr="00A41F40">
          <w:rPr>
            <w:rStyle w:val="Hyperlink"/>
            <w:noProof/>
          </w:rPr>
          <w:t>Eligibility</w:t>
        </w:r>
        <w:r w:rsidR="00E346BC">
          <w:rPr>
            <w:noProof/>
            <w:webHidden/>
          </w:rPr>
          <w:tab/>
        </w:r>
        <w:r w:rsidR="00E346BC">
          <w:rPr>
            <w:noProof/>
            <w:webHidden/>
          </w:rPr>
          <w:fldChar w:fldCharType="begin"/>
        </w:r>
        <w:r w:rsidR="00E346BC">
          <w:rPr>
            <w:noProof/>
            <w:webHidden/>
          </w:rPr>
          <w:instrText xml:space="preserve"> PAGEREF _Toc490491595 \h </w:instrText>
        </w:r>
        <w:r w:rsidR="00E346BC">
          <w:rPr>
            <w:noProof/>
            <w:webHidden/>
          </w:rPr>
        </w:r>
        <w:r w:rsidR="00E346BC">
          <w:rPr>
            <w:noProof/>
            <w:webHidden/>
          </w:rPr>
          <w:fldChar w:fldCharType="separate"/>
        </w:r>
        <w:r w:rsidR="00E346BC">
          <w:rPr>
            <w:noProof/>
            <w:webHidden/>
          </w:rPr>
          <w:t>2</w:t>
        </w:r>
        <w:r w:rsidR="00E346BC">
          <w:rPr>
            <w:noProof/>
            <w:webHidden/>
          </w:rPr>
          <w:fldChar w:fldCharType="end"/>
        </w:r>
      </w:hyperlink>
    </w:p>
    <w:p w14:paraId="2F35733C"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596" w:history="1">
        <w:r w:rsidR="00E346BC" w:rsidRPr="00A41F40">
          <w:rPr>
            <w:rStyle w:val="Hyperlink"/>
            <w:noProof/>
          </w:rPr>
          <w:t>About the PNIP</w:t>
        </w:r>
        <w:r w:rsidR="00E346BC">
          <w:rPr>
            <w:noProof/>
            <w:webHidden/>
          </w:rPr>
          <w:tab/>
        </w:r>
        <w:r w:rsidR="00E346BC">
          <w:rPr>
            <w:noProof/>
            <w:webHidden/>
          </w:rPr>
          <w:fldChar w:fldCharType="begin"/>
        </w:r>
        <w:r w:rsidR="00E346BC">
          <w:rPr>
            <w:noProof/>
            <w:webHidden/>
          </w:rPr>
          <w:instrText xml:space="preserve"> PAGEREF _Toc490491596 \h </w:instrText>
        </w:r>
        <w:r w:rsidR="00E346BC">
          <w:rPr>
            <w:noProof/>
            <w:webHidden/>
          </w:rPr>
        </w:r>
        <w:r w:rsidR="00E346BC">
          <w:rPr>
            <w:noProof/>
            <w:webHidden/>
          </w:rPr>
          <w:fldChar w:fldCharType="separate"/>
        </w:r>
        <w:r w:rsidR="00E346BC">
          <w:rPr>
            <w:noProof/>
            <w:webHidden/>
          </w:rPr>
          <w:t>2</w:t>
        </w:r>
        <w:r w:rsidR="00E346BC">
          <w:rPr>
            <w:noProof/>
            <w:webHidden/>
          </w:rPr>
          <w:fldChar w:fldCharType="end"/>
        </w:r>
      </w:hyperlink>
    </w:p>
    <w:p w14:paraId="3092816A"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597" w:history="1">
        <w:r w:rsidR="00E346BC" w:rsidRPr="00A41F40">
          <w:rPr>
            <w:rStyle w:val="Hyperlink"/>
            <w:noProof/>
          </w:rPr>
          <w:t>Eligibility</w:t>
        </w:r>
        <w:r w:rsidR="00E346BC">
          <w:rPr>
            <w:noProof/>
            <w:webHidden/>
          </w:rPr>
          <w:tab/>
        </w:r>
        <w:r w:rsidR="00E346BC">
          <w:rPr>
            <w:noProof/>
            <w:webHidden/>
          </w:rPr>
          <w:fldChar w:fldCharType="begin"/>
        </w:r>
        <w:r w:rsidR="00E346BC">
          <w:rPr>
            <w:noProof/>
            <w:webHidden/>
          </w:rPr>
          <w:instrText xml:space="preserve"> PAGEREF _Toc490491597 \h </w:instrText>
        </w:r>
        <w:r w:rsidR="00E346BC">
          <w:rPr>
            <w:noProof/>
            <w:webHidden/>
          </w:rPr>
        </w:r>
        <w:r w:rsidR="00E346BC">
          <w:rPr>
            <w:noProof/>
            <w:webHidden/>
          </w:rPr>
          <w:fldChar w:fldCharType="separate"/>
        </w:r>
        <w:r w:rsidR="00E346BC">
          <w:rPr>
            <w:noProof/>
            <w:webHidden/>
          </w:rPr>
          <w:t>3</w:t>
        </w:r>
        <w:r w:rsidR="00E346BC">
          <w:rPr>
            <w:noProof/>
            <w:webHidden/>
          </w:rPr>
          <w:fldChar w:fldCharType="end"/>
        </w:r>
      </w:hyperlink>
    </w:p>
    <w:p w14:paraId="7F7B9752" w14:textId="77777777" w:rsidR="00E346BC" w:rsidRDefault="009F48FC">
      <w:pPr>
        <w:pStyle w:val="TOC3"/>
        <w:tabs>
          <w:tab w:val="right" w:leader="dot" w:pos="10445"/>
        </w:tabs>
        <w:rPr>
          <w:rFonts w:eastAsiaTheme="minorEastAsia" w:cstheme="minorBidi"/>
          <w:noProof/>
          <w:color w:val="auto"/>
          <w:sz w:val="22"/>
          <w:szCs w:val="22"/>
        </w:rPr>
      </w:pPr>
      <w:hyperlink w:anchor="_Toc490491598" w:history="1">
        <w:r w:rsidR="00E346BC" w:rsidRPr="00A41F40">
          <w:rPr>
            <w:rStyle w:val="Hyperlink"/>
            <w:noProof/>
          </w:rPr>
          <w:t>Ineligibility</w:t>
        </w:r>
        <w:r w:rsidR="00E346BC">
          <w:rPr>
            <w:noProof/>
            <w:webHidden/>
          </w:rPr>
          <w:tab/>
        </w:r>
        <w:r w:rsidR="00E346BC">
          <w:rPr>
            <w:noProof/>
            <w:webHidden/>
          </w:rPr>
          <w:fldChar w:fldCharType="begin"/>
        </w:r>
        <w:r w:rsidR="00E346BC">
          <w:rPr>
            <w:noProof/>
            <w:webHidden/>
          </w:rPr>
          <w:instrText xml:space="preserve"> PAGEREF _Toc490491598 \h </w:instrText>
        </w:r>
        <w:r w:rsidR="00E346BC">
          <w:rPr>
            <w:noProof/>
            <w:webHidden/>
          </w:rPr>
        </w:r>
        <w:r w:rsidR="00E346BC">
          <w:rPr>
            <w:noProof/>
            <w:webHidden/>
          </w:rPr>
          <w:fldChar w:fldCharType="separate"/>
        </w:r>
        <w:r w:rsidR="00E346BC">
          <w:rPr>
            <w:noProof/>
            <w:webHidden/>
          </w:rPr>
          <w:t>4</w:t>
        </w:r>
        <w:r w:rsidR="00E346BC">
          <w:rPr>
            <w:noProof/>
            <w:webHidden/>
          </w:rPr>
          <w:fldChar w:fldCharType="end"/>
        </w:r>
      </w:hyperlink>
    </w:p>
    <w:p w14:paraId="4369207F"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599" w:history="1">
        <w:r w:rsidR="00E346BC" w:rsidRPr="00A41F40">
          <w:rPr>
            <w:rStyle w:val="Hyperlink"/>
            <w:noProof/>
          </w:rPr>
          <w:t>Practice accreditation</w:t>
        </w:r>
        <w:r w:rsidR="00E346BC">
          <w:rPr>
            <w:noProof/>
            <w:webHidden/>
          </w:rPr>
          <w:tab/>
        </w:r>
        <w:r w:rsidR="00E346BC">
          <w:rPr>
            <w:noProof/>
            <w:webHidden/>
          </w:rPr>
          <w:fldChar w:fldCharType="begin"/>
        </w:r>
        <w:r w:rsidR="00E346BC">
          <w:rPr>
            <w:noProof/>
            <w:webHidden/>
          </w:rPr>
          <w:instrText xml:space="preserve"> PAGEREF _Toc490491599 \h </w:instrText>
        </w:r>
        <w:r w:rsidR="00E346BC">
          <w:rPr>
            <w:noProof/>
            <w:webHidden/>
          </w:rPr>
        </w:r>
        <w:r w:rsidR="00E346BC">
          <w:rPr>
            <w:noProof/>
            <w:webHidden/>
          </w:rPr>
          <w:fldChar w:fldCharType="separate"/>
        </w:r>
        <w:r w:rsidR="00E346BC">
          <w:rPr>
            <w:noProof/>
            <w:webHidden/>
          </w:rPr>
          <w:t>5</w:t>
        </w:r>
        <w:r w:rsidR="00E346BC">
          <w:rPr>
            <w:noProof/>
            <w:webHidden/>
          </w:rPr>
          <w:fldChar w:fldCharType="end"/>
        </w:r>
      </w:hyperlink>
    </w:p>
    <w:p w14:paraId="33107DC8" w14:textId="77777777" w:rsidR="00E346BC" w:rsidRDefault="009F48FC">
      <w:pPr>
        <w:pStyle w:val="TOC3"/>
        <w:tabs>
          <w:tab w:val="right" w:leader="dot" w:pos="10445"/>
        </w:tabs>
        <w:rPr>
          <w:rFonts w:eastAsiaTheme="minorEastAsia" w:cstheme="minorBidi"/>
          <w:noProof/>
          <w:color w:val="auto"/>
          <w:sz w:val="22"/>
          <w:szCs w:val="22"/>
        </w:rPr>
      </w:pPr>
      <w:hyperlink w:anchor="_Toc490491600" w:history="1">
        <w:r w:rsidR="00E346BC" w:rsidRPr="00A41F40">
          <w:rPr>
            <w:rStyle w:val="Hyperlink"/>
            <w:noProof/>
          </w:rPr>
          <w:t>Practices with multiple locations</w:t>
        </w:r>
        <w:r w:rsidR="00E346BC">
          <w:rPr>
            <w:noProof/>
            <w:webHidden/>
          </w:rPr>
          <w:tab/>
        </w:r>
        <w:r w:rsidR="00E346BC">
          <w:rPr>
            <w:noProof/>
            <w:webHidden/>
          </w:rPr>
          <w:fldChar w:fldCharType="begin"/>
        </w:r>
        <w:r w:rsidR="00E346BC">
          <w:rPr>
            <w:noProof/>
            <w:webHidden/>
          </w:rPr>
          <w:instrText xml:space="preserve"> PAGEREF _Toc490491600 \h </w:instrText>
        </w:r>
        <w:r w:rsidR="00E346BC">
          <w:rPr>
            <w:noProof/>
            <w:webHidden/>
          </w:rPr>
        </w:r>
        <w:r w:rsidR="00E346BC">
          <w:rPr>
            <w:noProof/>
            <w:webHidden/>
          </w:rPr>
          <w:fldChar w:fldCharType="separate"/>
        </w:r>
        <w:r w:rsidR="00E346BC">
          <w:rPr>
            <w:noProof/>
            <w:webHidden/>
          </w:rPr>
          <w:t>5</w:t>
        </w:r>
        <w:r w:rsidR="00E346BC">
          <w:rPr>
            <w:noProof/>
            <w:webHidden/>
          </w:rPr>
          <w:fldChar w:fldCharType="end"/>
        </w:r>
      </w:hyperlink>
    </w:p>
    <w:p w14:paraId="1AB62CBD" w14:textId="77777777" w:rsidR="00E346BC" w:rsidRDefault="009F48FC">
      <w:pPr>
        <w:pStyle w:val="TOC3"/>
        <w:tabs>
          <w:tab w:val="right" w:leader="dot" w:pos="10445"/>
        </w:tabs>
        <w:rPr>
          <w:rFonts w:eastAsiaTheme="minorEastAsia" w:cstheme="minorBidi"/>
          <w:noProof/>
          <w:color w:val="auto"/>
          <w:sz w:val="22"/>
          <w:szCs w:val="22"/>
        </w:rPr>
      </w:pPr>
      <w:hyperlink w:anchor="_Toc490491601" w:history="1">
        <w:r w:rsidR="00E346BC" w:rsidRPr="00A41F40">
          <w:rPr>
            <w:rStyle w:val="Hyperlink"/>
            <w:noProof/>
          </w:rPr>
          <w:t>Accreditation requirements – practice branches</w:t>
        </w:r>
        <w:r w:rsidR="00E346BC">
          <w:rPr>
            <w:noProof/>
            <w:webHidden/>
          </w:rPr>
          <w:tab/>
        </w:r>
        <w:r w:rsidR="00E346BC">
          <w:rPr>
            <w:noProof/>
            <w:webHidden/>
          </w:rPr>
          <w:fldChar w:fldCharType="begin"/>
        </w:r>
        <w:r w:rsidR="00E346BC">
          <w:rPr>
            <w:noProof/>
            <w:webHidden/>
          </w:rPr>
          <w:instrText xml:space="preserve"> PAGEREF _Toc490491601 \h </w:instrText>
        </w:r>
        <w:r w:rsidR="00E346BC">
          <w:rPr>
            <w:noProof/>
            <w:webHidden/>
          </w:rPr>
        </w:r>
        <w:r w:rsidR="00E346BC">
          <w:rPr>
            <w:noProof/>
            <w:webHidden/>
          </w:rPr>
          <w:fldChar w:fldCharType="separate"/>
        </w:r>
        <w:r w:rsidR="00E346BC">
          <w:rPr>
            <w:noProof/>
            <w:webHidden/>
          </w:rPr>
          <w:t>5</w:t>
        </w:r>
        <w:r w:rsidR="00E346BC">
          <w:rPr>
            <w:noProof/>
            <w:webHidden/>
          </w:rPr>
          <w:fldChar w:fldCharType="end"/>
        </w:r>
      </w:hyperlink>
    </w:p>
    <w:p w14:paraId="59DF0249" w14:textId="77777777" w:rsidR="00E346BC" w:rsidRDefault="009F48FC">
      <w:pPr>
        <w:pStyle w:val="TOC1"/>
        <w:tabs>
          <w:tab w:val="right" w:leader="dot" w:pos="10445"/>
        </w:tabs>
        <w:rPr>
          <w:rFonts w:eastAsiaTheme="minorEastAsia" w:cstheme="minorBidi"/>
          <w:b w:val="0"/>
          <w:bCs w:val="0"/>
          <w:noProof/>
          <w:color w:val="auto"/>
          <w:sz w:val="22"/>
          <w:szCs w:val="22"/>
        </w:rPr>
      </w:pPr>
      <w:hyperlink w:anchor="_Toc490491602" w:history="1">
        <w:r w:rsidR="00E346BC" w:rsidRPr="00A41F40">
          <w:rPr>
            <w:rStyle w:val="Hyperlink"/>
            <w:noProof/>
          </w:rPr>
          <w:t>Claiming</w:t>
        </w:r>
        <w:r w:rsidR="00E346BC">
          <w:rPr>
            <w:noProof/>
            <w:webHidden/>
          </w:rPr>
          <w:tab/>
        </w:r>
        <w:r w:rsidR="00E346BC">
          <w:rPr>
            <w:noProof/>
            <w:webHidden/>
          </w:rPr>
          <w:fldChar w:fldCharType="begin"/>
        </w:r>
        <w:r w:rsidR="00E346BC">
          <w:rPr>
            <w:noProof/>
            <w:webHidden/>
          </w:rPr>
          <w:instrText xml:space="preserve"> PAGEREF _Toc490491602 \h </w:instrText>
        </w:r>
        <w:r w:rsidR="00E346BC">
          <w:rPr>
            <w:noProof/>
            <w:webHidden/>
          </w:rPr>
        </w:r>
        <w:r w:rsidR="00E346BC">
          <w:rPr>
            <w:noProof/>
            <w:webHidden/>
          </w:rPr>
          <w:fldChar w:fldCharType="separate"/>
        </w:r>
        <w:r w:rsidR="00E346BC">
          <w:rPr>
            <w:noProof/>
            <w:webHidden/>
          </w:rPr>
          <w:t>6</w:t>
        </w:r>
        <w:r w:rsidR="00E346BC">
          <w:rPr>
            <w:noProof/>
            <w:webHidden/>
          </w:rPr>
          <w:fldChar w:fldCharType="end"/>
        </w:r>
      </w:hyperlink>
    </w:p>
    <w:p w14:paraId="5B678A20"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03" w:history="1">
        <w:r w:rsidR="00E346BC" w:rsidRPr="00A41F40">
          <w:rPr>
            <w:rStyle w:val="Hyperlink"/>
            <w:noProof/>
          </w:rPr>
          <w:t>Before you start</w:t>
        </w:r>
        <w:r w:rsidR="00E346BC">
          <w:rPr>
            <w:noProof/>
            <w:webHidden/>
          </w:rPr>
          <w:tab/>
        </w:r>
        <w:r w:rsidR="00E346BC">
          <w:rPr>
            <w:noProof/>
            <w:webHidden/>
          </w:rPr>
          <w:fldChar w:fldCharType="begin"/>
        </w:r>
        <w:r w:rsidR="00E346BC">
          <w:rPr>
            <w:noProof/>
            <w:webHidden/>
          </w:rPr>
          <w:instrText xml:space="preserve"> PAGEREF _Toc490491603 \h </w:instrText>
        </w:r>
        <w:r w:rsidR="00E346BC">
          <w:rPr>
            <w:noProof/>
            <w:webHidden/>
          </w:rPr>
        </w:r>
        <w:r w:rsidR="00E346BC">
          <w:rPr>
            <w:noProof/>
            <w:webHidden/>
          </w:rPr>
          <w:fldChar w:fldCharType="separate"/>
        </w:r>
        <w:r w:rsidR="00E346BC">
          <w:rPr>
            <w:noProof/>
            <w:webHidden/>
          </w:rPr>
          <w:t>6</w:t>
        </w:r>
        <w:r w:rsidR="00E346BC">
          <w:rPr>
            <w:noProof/>
            <w:webHidden/>
          </w:rPr>
          <w:fldChar w:fldCharType="end"/>
        </w:r>
      </w:hyperlink>
    </w:p>
    <w:p w14:paraId="2E2AE523" w14:textId="77777777" w:rsidR="00E346BC" w:rsidRDefault="009F48FC">
      <w:pPr>
        <w:pStyle w:val="TOC3"/>
        <w:tabs>
          <w:tab w:val="right" w:leader="dot" w:pos="10445"/>
        </w:tabs>
        <w:rPr>
          <w:rFonts w:eastAsiaTheme="minorEastAsia" w:cstheme="minorBidi"/>
          <w:noProof/>
          <w:color w:val="auto"/>
          <w:sz w:val="22"/>
          <w:szCs w:val="22"/>
        </w:rPr>
      </w:pPr>
      <w:hyperlink w:anchor="_Toc490491604" w:history="1">
        <w:r w:rsidR="00E346BC" w:rsidRPr="00A41F40">
          <w:rPr>
            <w:rStyle w:val="Hyperlink"/>
            <w:noProof/>
          </w:rPr>
          <w:t>Applying</w:t>
        </w:r>
        <w:r w:rsidR="00E346BC">
          <w:rPr>
            <w:noProof/>
            <w:webHidden/>
          </w:rPr>
          <w:tab/>
        </w:r>
        <w:r w:rsidR="00E346BC">
          <w:rPr>
            <w:noProof/>
            <w:webHidden/>
          </w:rPr>
          <w:fldChar w:fldCharType="begin"/>
        </w:r>
        <w:r w:rsidR="00E346BC">
          <w:rPr>
            <w:noProof/>
            <w:webHidden/>
          </w:rPr>
          <w:instrText xml:space="preserve"> PAGEREF _Toc490491604 \h </w:instrText>
        </w:r>
        <w:r w:rsidR="00E346BC">
          <w:rPr>
            <w:noProof/>
            <w:webHidden/>
          </w:rPr>
        </w:r>
        <w:r w:rsidR="00E346BC">
          <w:rPr>
            <w:noProof/>
            <w:webHidden/>
          </w:rPr>
          <w:fldChar w:fldCharType="separate"/>
        </w:r>
        <w:r w:rsidR="00E346BC">
          <w:rPr>
            <w:noProof/>
            <w:webHidden/>
          </w:rPr>
          <w:t>6</w:t>
        </w:r>
        <w:r w:rsidR="00E346BC">
          <w:rPr>
            <w:noProof/>
            <w:webHidden/>
          </w:rPr>
          <w:fldChar w:fldCharType="end"/>
        </w:r>
      </w:hyperlink>
    </w:p>
    <w:p w14:paraId="3EA53EB1" w14:textId="77777777" w:rsidR="00E346BC" w:rsidRDefault="009F48FC">
      <w:pPr>
        <w:pStyle w:val="TOC3"/>
        <w:tabs>
          <w:tab w:val="right" w:leader="dot" w:pos="10445"/>
        </w:tabs>
        <w:rPr>
          <w:rFonts w:eastAsiaTheme="minorEastAsia" w:cstheme="minorBidi"/>
          <w:noProof/>
          <w:color w:val="auto"/>
          <w:sz w:val="22"/>
          <w:szCs w:val="22"/>
        </w:rPr>
      </w:pPr>
      <w:hyperlink w:anchor="_Toc490491605" w:history="1">
        <w:r w:rsidR="00E346BC" w:rsidRPr="00A41F40">
          <w:rPr>
            <w:rStyle w:val="Hyperlink"/>
            <w:noProof/>
          </w:rPr>
          <w:t>Applications</w:t>
        </w:r>
        <w:r w:rsidR="00E346BC">
          <w:rPr>
            <w:noProof/>
            <w:webHidden/>
          </w:rPr>
          <w:tab/>
        </w:r>
        <w:r w:rsidR="00E346BC">
          <w:rPr>
            <w:noProof/>
            <w:webHidden/>
          </w:rPr>
          <w:fldChar w:fldCharType="begin"/>
        </w:r>
        <w:r w:rsidR="00E346BC">
          <w:rPr>
            <w:noProof/>
            <w:webHidden/>
          </w:rPr>
          <w:instrText xml:space="preserve"> PAGEREF _Toc490491605 \h </w:instrText>
        </w:r>
        <w:r w:rsidR="00E346BC">
          <w:rPr>
            <w:noProof/>
            <w:webHidden/>
          </w:rPr>
        </w:r>
        <w:r w:rsidR="00E346BC">
          <w:rPr>
            <w:noProof/>
            <w:webHidden/>
          </w:rPr>
          <w:fldChar w:fldCharType="separate"/>
        </w:r>
        <w:r w:rsidR="00E346BC">
          <w:rPr>
            <w:noProof/>
            <w:webHidden/>
          </w:rPr>
          <w:t>7</w:t>
        </w:r>
        <w:r w:rsidR="00E346BC">
          <w:rPr>
            <w:noProof/>
            <w:webHidden/>
          </w:rPr>
          <w:fldChar w:fldCharType="end"/>
        </w:r>
      </w:hyperlink>
    </w:p>
    <w:p w14:paraId="6462D102"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06" w:history="1">
        <w:r w:rsidR="00E346BC" w:rsidRPr="00A41F40">
          <w:rPr>
            <w:rStyle w:val="Hyperlink"/>
            <w:noProof/>
          </w:rPr>
          <w:t>Application outcome</w:t>
        </w:r>
        <w:r w:rsidR="00E346BC">
          <w:rPr>
            <w:noProof/>
            <w:webHidden/>
          </w:rPr>
          <w:tab/>
        </w:r>
        <w:r w:rsidR="00E346BC">
          <w:rPr>
            <w:noProof/>
            <w:webHidden/>
          </w:rPr>
          <w:fldChar w:fldCharType="begin"/>
        </w:r>
        <w:r w:rsidR="00E346BC">
          <w:rPr>
            <w:noProof/>
            <w:webHidden/>
          </w:rPr>
          <w:instrText xml:space="preserve"> PAGEREF _Toc490491606 \h </w:instrText>
        </w:r>
        <w:r w:rsidR="00E346BC">
          <w:rPr>
            <w:noProof/>
            <w:webHidden/>
          </w:rPr>
        </w:r>
        <w:r w:rsidR="00E346BC">
          <w:rPr>
            <w:noProof/>
            <w:webHidden/>
          </w:rPr>
          <w:fldChar w:fldCharType="separate"/>
        </w:r>
        <w:r w:rsidR="00E346BC">
          <w:rPr>
            <w:noProof/>
            <w:webHidden/>
          </w:rPr>
          <w:t>7</w:t>
        </w:r>
        <w:r w:rsidR="00E346BC">
          <w:rPr>
            <w:noProof/>
            <w:webHidden/>
          </w:rPr>
          <w:fldChar w:fldCharType="end"/>
        </w:r>
      </w:hyperlink>
    </w:p>
    <w:p w14:paraId="3DF92938"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07" w:history="1">
        <w:r w:rsidR="00E346BC" w:rsidRPr="00A41F40">
          <w:rPr>
            <w:rStyle w:val="Hyperlink"/>
            <w:noProof/>
          </w:rPr>
          <w:t>Standardised Whole Patient Equivalent</w:t>
        </w:r>
        <w:r w:rsidR="00E346BC">
          <w:rPr>
            <w:noProof/>
            <w:webHidden/>
          </w:rPr>
          <w:tab/>
        </w:r>
        <w:r w:rsidR="00E346BC">
          <w:rPr>
            <w:noProof/>
            <w:webHidden/>
          </w:rPr>
          <w:fldChar w:fldCharType="begin"/>
        </w:r>
        <w:r w:rsidR="00E346BC">
          <w:rPr>
            <w:noProof/>
            <w:webHidden/>
          </w:rPr>
          <w:instrText xml:space="preserve"> PAGEREF _Toc490491607 \h </w:instrText>
        </w:r>
        <w:r w:rsidR="00E346BC">
          <w:rPr>
            <w:noProof/>
            <w:webHidden/>
          </w:rPr>
        </w:r>
        <w:r w:rsidR="00E346BC">
          <w:rPr>
            <w:noProof/>
            <w:webHidden/>
          </w:rPr>
          <w:fldChar w:fldCharType="separate"/>
        </w:r>
        <w:r w:rsidR="00E346BC">
          <w:rPr>
            <w:noProof/>
            <w:webHidden/>
          </w:rPr>
          <w:t>7</w:t>
        </w:r>
        <w:r w:rsidR="00E346BC">
          <w:rPr>
            <w:noProof/>
            <w:webHidden/>
          </w:rPr>
          <w:fldChar w:fldCharType="end"/>
        </w:r>
      </w:hyperlink>
    </w:p>
    <w:p w14:paraId="1AAF2DFA" w14:textId="77777777" w:rsidR="00E346BC" w:rsidRDefault="009F48FC">
      <w:pPr>
        <w:pStyle w:val="TOC3"/>
        <w:tabs>
          <w:tab w:val="right" w:leader="dot" w:pos="10445"/>
        </w:tabs>
        <w:rPr>
          <w:rFonts w:eastAsiaTheme="minorEastAsia" w:cstheme="minorBidi"/>
          <w:noProof/>
          <w:color w:val="auto"/>
          <w:sz w:val="22"/>
          <w:szCs w:val="22"/>
        </w:rPr>
      </w:pPr>
      <w:hyperlink w:anchor="_Toc490491608" w:history="1">
        <w:r w:rsidR="00E346BC" w:rsidRPr="00A41F40">
          <w:rPr>
            <w:rStyle w:val="Hyperlink"/>
            <w:noProof/>
          </w:rPr>
          <w:t>Practices without a historical SWPE</w:t>
        </w:r>
        <w:r w:rsidR="00E346BC">
          <w:rPr>
            <w:noProof/>
            <w:webHidden/>
          </w:rPr>
          <w:tab/>
        </w:r>
        <w:r w:rsidR="00E346BC">
          <w:rPr>
            <w:noProof/>
            <w:webHidden/>
          </w:rPr>
          <w:fldChar w:fldCharType="begin"/>
        </w:r>
        <w:r w:rsidR="00E346BC">
          <w:rPr>
            <w:noProof/>
            <w:webHidden/>
          </w:rPr>
          <w:instrText xml:space="preserve"> PAGEREF _Toc490491608 \h </w:instrText>
        </w:r>
        <w:r w:rsidR="00E346BC">
          <w:rPr>
            <w:noProof/>
            <w:webHidden/>
          </w:rPr>
        </w:r>
        <w:r w:rsidR="00E346BC">
          <w:rPr>
            <w:noProof/>
            <w:webHidden/>
          </w:rPr>
          <w:fldChar w:fldCharType="separate"/>
        </w:r>
        <w:r w:rsidR="00E346BC">
          <w:rPr>
            <w:noProof/>
            <w:webHidden/>
          </w:rPr>
          <w:t>8</w:t>
        </w:r>
        <w:r w:rsidR="00E346BC">
          <w:rPr>
            <w:noProof/>
            <w:webHidden/>
          </w:rPr>
          <w:fldChar w:fldCharType="end"/>
        </w:r>
      </w:hyperlink>
    </w:p>
    <w:p w14:paraId="4D83811F" w14:textId="77777777" w:rsidR="00E346BC" w:rsidRDefault="009F48FC">
      <w:pPr>
        <w:pStyle w:val="TOC3"/>
        <w:tabs>
          <w:tab w:val="right" w:leader="dot" w:pos="10445"/>
        </w:tabs>
        <w:rPr>
          <w:rFonts w:eastAsiaTheme="minorEastAsia" w:cstheme="minorBidi"/>
          <w:noProof/>
          <w:color w:val="auto"/>
          <w:sz w:val="22"/>
          <w:szCs w:val="22"/>
        </w:rPr>
      </w:pPr>
      <w:hyperlink w:anchor="_Toc490491609" w:history="1">
        <w:r w:rsidR="00E346BC" w:rsidRPr="00A41F40">
          <w:rPr>
            <w:rStyle w:val="Hyperlink"/>
            <w:noProof/>
          </w:rPr>
          <w:t>Transferring a SWPE Value</w:t>
        </w:r>
        <w:r w:rsidR="00E346BC">
          <w:rPr>
            <w:noProof/>
            <w:webHidden/>
          </w:rPr>
          <w:tab/>
        </w:r>
        <w:r w:rsidR="00E346BC">
          <w:rPr>
            <w:noProof/>
            <w:webHidden/>
          </w:rPr>
          <w:fldChar w:fldCharType="begin"/>
        </w:r>
        <w:r w:rsidR="00E346BC">
          <w:rPr>
            <w:noProof/>
            <w:webHidden/>
          </w:rPr>
          <w:instrText xml:space="preserve"> PAGEREF _Toc490491609 \h </w:instrText>
        </w:r>
        <w:r w:rsidR="00E346BC">
          <w:rPr>
            <w:noProof/>
            <w:webHidden/>
          </w:rPr>
        </w:r>
        <w:r w:rsidR="00E346BC">
          <w:rPr>
            <w:noProof/>
            <w:webHidden/>
          </w:rPr>
          <w:fldChar w:fldCharType="separate"/>
        </w:r>
        <w:r w:rsidR="00E346BC">
          <w:rPr>
            <w:noProof/>
            <w:webHidden/>
          </w:rPr>
          <w:t>9</w:t>
        </w:r>
        <w:r w:rsidR="00E346BC">
          <w:rPr>
            <w:noProof/>
            <w:webHidden/>
          </w:rPr>
          <w:fldChar w:fldCharType="end"/>
        </w:r>
      </w:hyperlink>
    </w:p>
    <w:p w14:paraId="48FD7008" w14:textId="77777777" w:rsidR="00E346BC" w:rsidRDefault="009F48FC">
      <w:pPr>
        <w:pStyle w:val="TOC3"/>
        <w:tabs>
          <w:tab w:val="right" w:leader="dot" w:pos="10445"/>
        </w:tabs>
        <w:rPr>
          <w:rFonts w:eastAsiaTheme="minorEastAsia" w:cstheme="minorBidi"/>
          <w:noProof/>
          <w:color w:val="auto"/>
          <w:sz w:val="22"/>
          <w:szCs w:val="22"/>
        </w:rPr>
      </w:pPr>
      <w:hyperlink w:anchor="_Toc490491610" w:history="1">
        <w:r w:rsidR="00E346BC" w:rsidRPr="00A41F40">
          <w:rPr>
            <w:rStyle w:val="Hyperlink"/>
            <w:noProof/>
          </w:rPr>
          <w:t>Practice amalgamation</w:t>
        </w:r>
        <w:r w:rsidR="00E346BC">
          <w:rPr>
            <w:noProof/>
            <w:webHidden/>
          </w:rPr>
          <w:tab/>
        </w:r>
        <w:r w:rsidR="00E346BC">
          <w:rPr>
            <w:noProof/>
            <w:webHidden/>
          </w:rPr>
          <w:fldChar w:fldCharType="begin"/>
        </w:r>
        <w:r w:rsidR="00E346BC">
          <w:rPr>
            <w:noProof/>
            <w:webHidden/>
          </w:rPr>
          <w:instrText xml:space="preserve"> PAGEREF _Toc490491610 \h </w:instrText>
        </w:r>
        <w:r w:rsidR="00E346BC">
          <w:rPr>
            <w:noProof/>
            <w:webHidden/>
          </w:rPr>
        </w:r>
        <w:r w:rsidR="00E346BC">
          <w:rPr>
            <w:noProof/>
            <w:webHidden/>
          </w:rPr>
          <w:fldChar w:fldCharType="separate"/>
        </w:r>
        <w:r w:rsidR="00E346BC">
          <w:rPr>
            <w:noProof/>
            <w:webHidden/>
          </w:rPr>
          <w:t>9</w:t>
        </w:r>
        <w:r w:rsidR="00E346BC">
          <w:rPr>
            <w:noProof/>
            <w:webHidden/>
          </w:rPr>
          <w:fldChar w:fldCharType="end"/>
        </w:r>
      </w:hyperlink>
    </w:p>
    <w:p w14:paraId="3DBFC0B8" w14:textId="77777777" w:rsidR="00E346BC" w:rsidRDefault="009F48FC">
      <w:pPr>
        <w:pStyle w:val="TOC3"/>
        <w:tabs>
          <w:tab w:val="right" w:leader="dot" w:pos="10445"/>
        </w:tabs>
        <w:rPr>
          <w:rFonts w:eastAsiaTheme="minorEastAsia" w:cstheme="minorBidi"/>
          <w:noProof/>
          <w:color w:val="auto"/>
          <w:sz w:val="22"/>
          <w:szCs w:val="22"/>
        </w:rPr>
      </w:pPr>
      <w:hyperlink w:anchor="_Toc490491611" w:history="1">
        <w:r w:rsidR="00E346BC" w:rsidRPr="00A41F40">
          <w:rPr>
            <w:rStyle w:val="Hyperlink"/>
            <w:noProof/>
          </w:rPr>
          <w:t>Relocation</w:t>
        </w:r>
        <w:r w:rsidR="00E346BC">
          <w:rPr>
            <w:noProof/>
            <w:webHidden/>
          </w:rPr>
          <w:tab/>
        </w:r>
        <w:r w:rsidR="00E346BC">
          <w:rPr>
            <w:noProof/>
            <w:webHidden/>
          </w:rPr>
          <w:fldChar w:fldCharType="begin"/>
        </w:r>
        <w:r w:rsidR="00E346BC">
          <w:rPr>
            <w:noProof/>
            <w:webHidden/>
          </w:rPr>
          <w:instrText xml:space="preserve"> PAGEREF _Toc490491611 \h </w:instrText>
        </w:r>
        <w:r w:rsidR="00E346BC">
          <w:rPr>
            <w:noProof/>
            <w:webHidden/>
          </w:rPr>
        </w:r>
        <w:r w:rsidR="00E346BC">
          <w:rPr>
            <w:noProof/>
            <w:webHidden/>
          </w:rPr>
          <w:fldChar w:fldCharType="separate"/>
        </w:r>
        <w:r w:rsidR="00E346BC">
          <w:rPr>
            <w:noProof/>
            <w:webHidden/>
          </w:rPr>
          <w:t>10</w:t>
        </w:r>
        <w:r w:rsidR="00E346BC">
          <w:rPr>
            <w:noProof/>
            <w:webHidden/>
          </w:rPr>
          <w:fldChar w:fldCharType="end"/>
        </w:r>
      </w:hyperlink>
    </w:p>
    <w:p w14:paraId="00511635" w14:textId="77777777" w:rsidR="00E346BC" w:rsidRDefault="009F48FC">
      <w:pPr>
        <w:pStyle w:val="TOC3"/>
        <w:tabs>
          <w:tab w:val="right" w:leader="dot" w:pos="10445"/>
        </w:tabs>
        <w:rPr>
          <w:rFonts w:eastAsiaTheme="minorEastAsia" w:cstheme="minorBidi"/>
          <w:noProof/>
          <w:color w:val="auto"/>
          <w:sz w:val="22"/>
          <w:szCs w:val="22"/>
        </w:rPr>
      </w:pPr>
      <w:hyperlink w:anchor="_Toc490491612" w:history="1">
        <w:r w:rsidR="00E346BC" w:rsidRPr="00A41F40">
          <w:rPr>
            <w:rStyle w:val="Hyperlink"/>
            <w:noProof/>
          </w:rPr>
          <w:t>Change of ownership</w:t>
        </w:r>
        <w:r w:rsidR="00E346BC">
          <w:rPr>
            <w:noProof/>
            <w:webHidden/>
          </w:rPr>
          <w:tab/>
        </w:r>
        <w:r w:rsidR="00E346BC">
          <w:rPr>
            <w:noProof/>
            <w:webHidden/>
          </w:rPr>
          <w:fldChar w:fldCharType="begin"/>
        </w:r>
        <w:r w:rsidR="00E346BC">
          <w:rPr>
            <w:noProof/>
            <w:webHidden/>
          </w:rPr>
          <w:instrText xml:space="preserve"> PAGEREF _Toc490491612 \h </w:instrText>
        </w:r>
        <w:r w:rsidR="00E346BC">
          <w:rPr>
            <w:noProof/>
            <w:webHidden/>
          </w:rPr>
        </w:r>
        <w:r w:rsidR="00E346BC">
          <w:rPr>
            <w:noProof/>
            <w:webHidden/>
          </w:rPr>
          <w:fldChar w:fldCharType="separate"/>
        </w:r>
        <w:r w:rsidR="00E346BC">
          <w:rPr>
            <w:noProof/>
            <w:webHidden/>
          </w:rPr>
          <w:t>10</w:t>
        </w:r>
        <w:r w:rsidR="00E346BC">
          <w:rPr>
            <w:noProof/>
            <w:webHidden/>
          </w:rPr>
          <w:fldChar w:fldCharType="end"/>
        </w:r>
      </w:hyperlink>
    </w:p>
    <w:p w14:paraId="41CDAE0B"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13" w:history="1">
        <w:r w:rsidR="00E346BC" w:rsidRPr="00A41F40">
          <w:rPr>
            <w:rStyle w:val="Hyperlink"/>
            <w:noProof/>
          </w:rPr>
          <w:t>Payment types</w:t>
        </w:r>
        <w:r w:rsidR="00E346BC">
          <w:rPr>
            <w:noProof/>
            <w:webHidden/>
          </w:rPr>
          <w:tab/>
        </w:r>
        <w:r w:rsidR="00E346BC">
          <w:rPr>
            <w:noProof/>
            <w:webHidden/>
          </w:rPr>
          <w:fldChar w:fldCharType="begin"/>
        </w:r>
        <w:r w:rsidR="00E346BC">
          <w:rPr>
            <w:noProof/>
            <w:webHidden/>
          </w:rPr>
          <w:instrText xml:space="preserve"> PAGEREF _Toc490491613 \h </w:instrText>
        </w:r>
        <w:r w:rsidR="00E346BC">
          <w:rPr>
            <w:noProof/>
            <w:webHidden/>
          </w:rPr>
        </w:r>
        <w:r w:rsidR="00E346BC">
          <w:rPr>
            <w:noProof/>
            <w:webHidden/>
          </w:rPr>
          <w:fldChar w:fldCharType="separate"/>
        </w:r>
        <w:r w:rsidR="00E346BC">
          <w:rPr>
            <w:noProof/>
            <w:webHidden/>
          </w:rPr>
          <w:t>10</w:t>
        </w:r>
        <w:r w:rsidR="00E346BC">
          <w:rPr>
            <w:noProof/>
            <w:webHidden/>
          </w:rPr>
          <w:fldChar w:fldCharType="end"/>
        </w:r>
      </w:hyperlink>
    </w:p>
    <w:p w14:paraId="0A9ABE15" w14:textId="77777777" w:rsidR="00E346BC" w:rsidRDefault="009F48FC">
      <w:pPr>
        <w:pStyle w:val="TOC3"/>
        <w:tabs>
          <w:tab w:val="right" w:leader="dot" w:pos="10445"/>
        </w:tabs>
        <w:rPr>
          <w:rFonts w:eastAsiaTheme="minorEastAsia" w:cstheme="minorBidi"/>
          <w:noProof/>
          <w:color w:val="auto"/>
          <w:sz w:val="22"/>
          <w:szCs w:val="22"/>
        </w:rPr>
      </w:pPr>
      <w:hyperlink w:anchor="_Toc490491614" w:history="1">
        <w:r w:rsidR="00E346BC" w:rsidRPr="00A41F40">
          <w:rPr>
            <w:rStyle w:val="Hyperlink"/>
            <w:noProof/>
          </w:rPr>
          <w:t>Incentive payment</w:t>
        </w:r>
        <w:r w:rsidR="00E346BC">
          <w:rPr>
            <w:noProof/>
            <w:webHidden/>
          </w:rPr>
          <w:tab/>
        </w:r>
        <w:r w:rsidR="00E346BC">
          <w:rPr>
            <w:noProof/>
            <w:webHidden/>
          </w:rPr>
          <w:fldChar w:fldCharType="begin"/>
        </w:r>
        <w:r w:rsidR="00E346BC">
          <w:rPr>
            <w:noProof/>
            <w:webHidden/>
          </w:rPr>
          <w:instrText xml:space="preserve"> PAGEREF _Toc490491614 \h </w:instrText>
        </w:r>
        <w:r w:rsidR="00E346BC">
          <w:rPr>
            <w:noProof/>
            <w:webHidden/>
          </w:rPr>
        </w:r>
        <w:r w:rsidR="00E346BC">
          <w:rPr>
            <w:noProof/>
            <w:webHidden/>
          </w:rPr>
          <w:fldChar w:fldCharType="separate"/>
        </w:r>
        <w:r w:rsidR="00E346BC">
          <w:rPr>
            <w:noProof/>
            <w:webHidden/>
          </w:rPr>
          <w:t>10</w:t>
        </w:r>
        <w:r w:rsidR="00E346BC">
          <w:rPr>
            <w:noProof/>
            <w:webHidden/>
          </w:rPr>
          <w:fldChar w:fldCharType="end"/>
        </w:r>
      </w:hyperlink>
    </w:p>
    <w:p w14:paraId="6D7AE492" w14:textId="77777777" w:rsidR="00E346BC" w:rsidRDefault="009F48FC">
      <w:pPr>
        <w:pStyle w:val="TOC3"/>
        <w:tabs>
          <w:tab w:val="right" w:leader="dot" w:pos="10445"/>
        </w:tabs>
        <w:rPr>
          <w:rFonts w:eastAsiaTheme="minorEastAsia" w:cstheme="minorBidi"/>
          <w:noProof/>
          <w:color w:val="auto"/>
          <w:sz w:val="22"/>
          <w:szCs w:val="22"/>
        </w:rPr>
      </w:pPr>
      <w:hyperlink w:anchor="_Toc490491615" w:history="1">
        <w:r w:rsidR="00E346BC" w:rsidRPr="00A41F40">
          <w:rPr>
            <w:rStyle w:val="Hyperlink"/>
            <w:noProof/>
          </w:rPr>
          <w:t>Accreditation assistance payment</w:t>
        </w:r>
        <w:r w:rsidR="00E346BC">
          <w:rPr>
            <w:noProof/>
            <w:webHidden/>
          </w:rPr>
          <w:tab/>
        </w:r>
        <w:r w:rsidR="00E346BC">
          <w:rPr>
            <w:noProof/>
            <w:webHidden/>
          </w:rPr>
          <w:fldChar w:fldCharType="begin"/>
        </w:r>
        <w:r w:rsidR="00E346BC">
          <w:rPr>
            <w:noProof/>
            <w:webHidden/>
          </w:rPr>
          <w:instrText xml:space="preserve"> PAGEREF _Toc490491615 \h </w:instrText>
        </w:r>
        <w:r w:rsidR="00E346BC">
          <w:rPr>
            <w:noProof/>
            <w:webHidden/>
          </w:rPr>
        </w:r>
        <w:r w:rsidR="00E346BC">
          <w:rPr>
            <w:noProof/>
            <w:webHidden/>
          </w:rPr>
          <w:fldChar w:fldCharType="separate"/>
        </w:r>
        <w:r w:rsidR="00E346BC">
          <w:rPr>
            <w:noProof/>
            <w:webHidden/>
          </w:rPr>
          <w:t>11</w:t>
        </w:r>
        <w:r w:rsidR="00E346BC">
          <w:rPr>
            <w:noProof/>
            <w:webHidden/>
          </w:rPr>
          <w:fldChar w:fldCharType="end"/>
        </w:r>
      </w:hyperlink>
    </w:p>
    <w:p w14:paraId="1E9FB70B" w14:textId="77777777" w:rsidR="00E346BC" w:rsidRDefault="009F48FC">
      <w:pPr>
        <w:pStyle w:val="TOC3"/>
        <w:tabs>
          <w:tab w:val="right" w:leader="dot" w:pos="10445"/>
        </w:tabs>
        <w:rPr>
          <w:rFonts w:eastAsiaTheme="minorEastAsia" w:cstheme="minorBidi"/>
          <w:noProof/>
          <w:color w:val="auto"/>
          <w:sz w:val="22"/>
          <w:szCs w:val="22"/>
        </w:rPr>
      </w:pPr>
      <w:hyperlink w:anchor="_Toc490491616" w:history="1">
        <w:r w:rsidR="00E346BC" w:rsidRPr="00A41F40">
          <w:rPr>
            <w:rStyle w:val="Hyperlink"/>
            <w:noProof/>
          </w:rPr>
          <w:t>Department of Veterans' Affairs loading payments and Rural loading payments</w:t>
        </w:r>
        <w:r w:rsidR="00E346BC">
          <w:rPr>
            <w:noProof/>
            <w:webHidden/>
          </w:rPr>
          <w:tab/>
        </w:r>
        <w:r w:rsidR="00E346BC">
          <w:rPr>
            <w:noProof/>
            <w:webHidden/>
          </w:rPr>
          <w:fldChar w:fldCharType="begin"/>
        </w:r>
        <w:r w:rsidR="00E346BC">
          <w:rPr>
            <w:noProof/>
            <w:webHidden/>
          </w:rPr>
          <w:instrText xml:space="preserve"> PAGEREF _Toc490491616 \h </w:instrText>
        </w:r>
        <w:r w:rsidR="00E346BC">
          <w:rPr>
            <w:noProof/>
            <w:webHidden/>
          </w:rPr>
        </w:r>
        <w:r w:rsidR="00E346BC">
          <w:rPr>
            <w:noProof/>
            <w:webHidden/>
          </w:rPr>
          <w:fldChar w:fldCharType="separate"/>
        </w:r>
        <w:r w:rsidR="00E346BC">
          <w:rPr>
            <w:noProof/>
            <w:webHidden/>
          </w:rPr>
          <w:t>12</w:t>
        </w:r>
        <w:r w:rsidR="00E346BC">
          <w:rPr>
            <w:noProof/>
            <w:webHidden/>
          </w:rPr>
          <w:fldChar w:fldCharType="end"/>
        </w:r>
      </w:hyperlink>
    </w:p>
    <w:p w14:paraId="703DDA2A"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17" w:history="1">
        <w:r w:rsidR="00E346BC" w:rsidRPr="00A41F40">
          <w:rPr>
            <w:rStyle w:val="Hyperlink"/>
            <w:noProof/>
          </w:rPr>
          <w:t>Payment calculations</w:t>
        </w:r>
        <w:r w:rsidR="00E346BC">
          <w:rPr>
            <w:noProof/>
            <w:webHidden/>
          </w:rPr>
          <w:tab/>
        </w:r>
        <w:r w:rsidR="00E346BC">
          <w:rPr>
            <w:noProof/>
            <w:webHidden/>
          </w:rPr>
          <w:fldChar w:fldCharType="begin"/>
        </w:r>
        <w:r w:rsidR="00E346BC">
          <w:rPr>
            <w:noProof/>
            <w:webHidden/>
          </w:rPr>
          <w:instrText xml:space="preserve"> PAGEREF _Toc490491617 \h </w:instrText>
        </w:r>
        <w:r w:rsidR="00E346BC">
          <w:rPr>
            <w:noProof/>
            <w:webHidden/>
          </w:rPr>
        </w:r>
        <w:r w:rsidR="00E346BC">
          <w:rPr>
            <w:noProof/>
            <w:webHidden/>
          </w:rPr>
          <w:fldChar w:fldCharType="separate"/>
        </w:r>
        <w:r w:rsidR="00E346BC">
          <w:rPr>
            <w:noProof/>
            <w:webHidden/>
          </w:rPr>
          <w:t>12</w:t>
        </w:r>
        <w:r w:rsidR="00E346BC">
          <w:rPr>
            <w:noProof/>
            <w:webHidden/>
          </w:rPr>
          <w:fldChar w:fldCharType="end"/>
        </w:r>
      </w:hyperlink>
    </w:p>
    <w:p w14:paraId="0FE76DCE" w14:textId="77777777" w:rsidR="00E346BC" w:rsidRDefault="009F48FC">
      <w:pPr>
        <w:pStyle w:val="TOC3"/>
        <w:tabs>
          <w:tab w:val="right" w:leader="dot" w:pos="10445"/>
        </w:tabs>
        <w:rPr>
          <w:rFonts w:eastAsiaTheme="minorEastAsia" w:cstheme="minorBidi"/>
          <w:noProof/>
          <w:color w:val="auto"/>
          <w:sz w:val="22"/>
          <w:szCs w:val="22"/>
        </w:rPr>
      </w:pPr>
      <w:hyperlink w:anchor="_Toc490491618" w:history="1">
        <w:r w:rsidR="00E346BC" w:rsidRPr="00A41F40">
          <w:rPr>
            <w:rStyle w:val="Hyperlink"/>
            <w:noProof/>
          </w:rPr>
          <w:t>PNIP incentive amounts based on Standardised Whole Patient Equivalent (SWPE) values</w:t>
        </w:r>
        <w:r w:rsidR="00E346BC">
          <w:rPr>
            <w:noProof/>
            <w:webHidden/>
          </w:rPr>
          <w:tab/>
        </w:r>
        <w:r w:rsidR="00E346BC">
          <w:rPr>
            <w:noProof/>
            <w:webHidden/>
          </w:rPr>
          <w:fldChar w:fldCharType="begin"/>
        </w:r>
        <w:r w:rsidR="00E346BC">
          <w:rPr>
            <w:noProof/>
            <w:webHidden/>
          </w:rPr>
          <w:instrText xml:space="preserve"> PAGEREF _Toc490491618 \h </w:instrText>
        </w:r>
        <w:r w:rsidR="00E346BC">
          <w:rPr>
            <w:noProof/>
            <w:webHidden/>
          </w:rPr>
        </w:r>
        <w:r w:rsidR="00E346BC">
          <w:rPr>
            <w:noProof/>
            <w:webHidden/>
          </w:rPr>
          <w:fldChar w:fldCharType="separate"/>
        </w:r>
        <w:r w:rsidR="00E346BC">
          <w:rPr>
            <w:noProof/>
            <w:webHidden/>
          </w:rPr>
          <w:t>13</w:t>
        </w:r>
        <w:r w:rsidR="00E346BC">
          <w:rPr>
            <w:noProof/>
            <w:webHidden/>
          </w:rPr>
          <w:fldChar w:fldCharType="end"/>
        </w:r>
      </w:hyperlink>
    </w:p>
    <w:p w14:paraId="3C6C24B8" w14:textId="77777777" w:rsidR="00E346BC" w:rsidRDefault="009F48FC">
      <w:pPr>
        <w:pStyle w:val="TOC3"/>
        <w:tabs>
          <w:tab w:val="right" w:leader="dot" w:pos="10445"/>
        </w:tabs>
        <w:rPr>
          <w:rFonts w:eastAsiaTheme="minorEastAsia" w:cstheme="minorBidi"/>
          <w:noProof/>
          <w:color w:val="auto"/>
          <w:sz w:val="22"/>
          <w:szCs w:val="22"/>
        </w:rPr>
      </w:pPr>
      <w:hyperlink w:anchor="_Toc490491619" w:history="1">
        <w:r w:rsidR="00E346BC" w:rsidRPr="00A41F40">
          <w:rPr>
            <w:rStyle w:val="Hyperlink"/>
            <w:noProof/>
          </w:rPr>
          <w:t>Hours for full time staff</w:t>
        </w:r>
        <w:r w:rsidR="00E346BC">
          <w:rPr>
            <w:noProof/>
            <w:webHidden/>
          </w:rPr>
          <w:tab/>
        </w:r>
        <w:r w:rsidR="00E346BC">
          <w:rPr>
            <w:noProof/>
            <w:webHidden/>
          </w:rPr>
          <w:fldChar w:fldCharType="begin"/>
        </w:r>
        <w:r w:rsidR="00E346BC">
          <w:rPr>
            <w:noProof/>
            <w:webHidden/>
          </w:rPr>
          <w:instrText xml:space="preserve"> PAGEREF _Toc490491619 \h </w:instrText>
        </w:r>
        <w:r w:rsidR="00E346BC">
          <w:rPr>
            <w:noProof/>
            <w:webHidden/>
          </w:rPr>
        </w:r>
        <w:r w:rsidR="00E346BC">
          <w:rPr>
            <w:noProof/>
            <w:webHidden/>
          </w:rPr>
          <w:fldChar w:fldCharType="separate"/>
        </w:r>
        <w:r w:rsidR="00E346BC">
          <w:rPr>
            <w:noProof/>
            <w:webHidden/>
          </w:rPr>
          <w:t>13</w:t>
        </w:r>
        <w:r w:rsidR="00E346BC">
          <w:rPr>
            <w:noProof/>
            <w:webHidden/>
          </w:rPr>
          <w:fldChar w:fldCharType="end"/>
        </w:r>
      </w:hyperlink>
    </w:p>
    <w:p w14:paraId="1BC9791E" w14:textId="77777777" w:rsidR="00E346BC" w:rsidRDefault="009F48FC">
      <w:pPr>
        <w:pStyle w:val="TOC3"/>
        <w:tabs>
          <w:tab w:val="right" w:leader="dot" w:pos="10445"/>
        </w:tabs>
        <w:rPr>
          <w:rFonts w:eastAsiaTheme="minorEastAsia" w:cstheme="minorBidi"/>
          <w:noProof/>
          <w:color w:val="auto"/>
          <w:sz w:val="22"/>
          <w:szCs w:val="22"/>
        </w:rPr>
      </w:pPr>
      <w:hyperlink w:anchor="_Toc490491620" w:history="1">
        <w:r w:rsidR="00E346BC" w:rsidRPr="00A41F40">
          <w:rPr>
            <w:rStyle w:val="Hyperlink"/>
            <w:noProof/>
            <w:lang w:val="en-US"/>
          </w:rPr>
          <w:t>Grace periods</w:t>
        </w:r>
        <w:r w:rsidR="00E346BC">
          <w:rPr>
            <w:noProof/>
            <w:webHidden/>
          </w:rPr>
          <w:tab/>
        </w:r>
        <w:r w:rsidR="00E346BC">
          <w:rPr>
            <w:noProof/>
            <w:webHidden/>
          </w:rPr>
          <w:fldChar w:fldCharType="begin"/>
        </w:r>
        <w:r w:rsidR="00E346BC">
          <w:rPr>
            <w:noProof/>
            <w:webHidden/>
          </w:rPr>
          <w:instrText xml:space="preserve"> PAGEREF _Toc490491620 \h </w:instrText>
        </w:r>
        <w:r w:rsidR="00E346BC">
          <w:rPr>
            <w:noProof/>
            <w:webHidden/>
          </w:rPr>
        </w:r>
        <w:r w:rsidR="00E346BC">
          <w:rPr>
            <w:noProof/>
            <w:webHidden/>
          </w:rPr>
          <w:fldChar w:fldCharType="separate"/>
        </w:r>
        <w:r w:rsidR="00E346BC">
          <w:rPr>
            <w:noProof/>
            <w:webHidden/>
          </w:rPr>
          <w:t>13</w:t>
        </w:r>
        <w:r w:rsidR="00E346BC">
          <w:rPr>
            <w:noProof/>
            <w:webHidden/>
          </w:rPr>
          <w:fldChar w:fldCharType="end"/>
        </w:r>
      </w:hyperlink>
    </w:p>
    <w:p w14:paraId="1B38384F" w14:textId="77777777" w:rsidR="00E346BC" w:rsidRDefault="009F48FC">
      <w:pPr>
        <w:pStyle w:val="TOC3"/>
        <w:tabs>
          <w:tab w:val="right" w:leader="dot" w:pos="10445"/>
        </w:tabs>
        <w:rPr>
          <w:rFonts w:eastAsiaTheme="minorEastAsia" w:cstheme="minorBidi"/>
          <w:noProof/>
          <w:color w:val="auto"/>
          <w:sz w:val="22"/>
          <w:szCs w:val="22"/>
        </w:rPr>
      </w:pPr>
      <w:hyperlink w:anchor="_Toc490491621" w:history="1">
        <w:r w:rsidR="00E346BC" w:rsidRPr="00A41F40">
          <w:rPr>
            <w:rStyle w:val="Hyperlink"/>
            <w:noProof/>
          </w:rPr>
          <w:t>Examples of PNIP payments</w:t>
        </w:r>
        <w:r w:rsidR="00E346BC">
          <w:rPr>
            <w:noProof/>
            <w:webHidden/>
          </w:rPr>
          <w:tab/>
        </w:r>
        <w:r w:rsidR="00E346BC">
          <w:rPr>
            <w:noProof/>
            <w:webHidden/>
          </w:rPr>
          <w:fldChar w:fldCharType="begin"/>
        </w:r>
        <w:r w:rsidR="00E346BC">
          <w:rPr>
            <w:noProof/>
            <w:webHidden/>
          </w:rPr>
          <w:instrText xml:space="preserve"> PAGEREF _Toc490491621 \h </w:instrText>
        </w:r>
        <w:r w:rsidR="00E346BC">
          <w:rPr>
            <w:noProof/>
            <w:webHidden/>
          </w:rPr>
        </w:r>
        <w:r w:rsidR="00E346BC">
          <w:rPr>
            <w:noProof/>
            <w:webHidden/>
          </w:rPr>
          <w:fldChar w:fldCharType="separate"/>
        </w:r>
        <w:r w:rsidR="00E346BC">
          <w:rPr>
            <w:noProof/>
            <w:webHidden/>
          </w:rPr>
          <w:t>14</w:t>
        </w:r>
        <w:r w:rsidR="00E346BC">
          <w:rPr>
            <w:noProof/>
            <w:webHidden/>
          </w:rPr>
          <w:fldChar w:fldCharType="end"/>
        </w:r>
      </w:hyperlink>
    </w:p>
    <w:p w14:paraId="56D50251"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22" w:history="1">
        <w:r w:rsidR="00E346BC" w:rsidRPr="00A41F40">
          <w:rPr>
            <w:rStyle w:val="Hyperlink"/>
            <w:noProof/>
          </w:rPr>
          <w:t>When payments are made</w:t>
        </w:r>
        <w:r w:rsidR="00E346BC">
          <w:rPr>
            <w:noProof/>
            <w:webHidden/>
          </w:rPr>
          <w:tab/>
        </w:r>
        <w:r w:rsidR="00E346BC">
          <w:rPr>
            <w:noProof/>
            <w:webHidden/>
          </w:rPr>
          <w:fldChar w:fldCharType="begin"/>
        </w:r>
        <w:r w:rsidR="00E346BC">
          <w:rPr>
            <w:noProof/>
            <w:webHidden/>
          </w:rPr>
          <w:instrText xml:space="preserve"> PAGEREF _Toc490491622 \h </w:instrText>
        </w:r>
        <w:r w:rsidR="00E346BC">
          <w:rPr>
            <w:noProof/>
            <w:webHidden/>
          </w:rPr>
        </w:r>
        <w:r w:rsidR="00E346BC">
          <w:rPr>
            <w:noProof/>
            <w:webHidden/>
          </w:rPr>
          <w:fldChar w:fldCharType="separate"/>
        </w:r>
        <w:r w:rsidR="00E346BC">
          <w:rPr>
            <w:noProof/>
            <w:webHidden/>
          </w:rPr>
          <w:t>15</w:t>
        </w:r>
        <w:r w:rsidR="00E346BC">
          <w:rPr>
            <w:noProof/>
            <w:webHidden/>
          </w:rPr>
          <w:fldChar w:fldCharType="end"/>
        </w:r>
      </w:hyperlink>
    </w:p>
    <w:p w14:paraId="44C6D28A" w14:textId="77777777" w:rsidR="00E346BC" w:rsidRDefault="009F48FC">
      <w:pPr>
        <w:pStyle w:val="TOC3"/>
        <w:tabs>
          <w:tab w:val="right" w:leader="dot" w:pos="10445"/>
        </w:tabs>
        <w:rPr>
          <w:rFonts w:eastAsiaTheme="minorEastAsia" w:cstheme="minorBidi"/>
          <w:noProof/>
          <w:color w:val="auto"/>
          <w:sz w:val="22"/>
          <w:szCs w:val="22"/>
        </w:rPr>
      </w:pPr>
      <w:hyperlink w:anchor="_Toc490491623" w:history="1">
        <w:r w:rsidR="00E346BC" w:rsidRPr="00A41F40">
          <w:rPr>
            <w:rStyle w:val="Hyperlink"/>
            <w:noProof/>
          </w:rPr>
          <w:t>Quarterly confirmation statements</w:t>
        </w:r>
        <w:r w:rsidR="00E346BC">
          <w:rPr>
            <w:noProof/>
            <w:webHidden/>
          </w:rPr>
          <w:tab/>
        </w:r>
        <w:r w:rsidR="00E346BC">
          <w:rPr>
            <w:noProof/>
            <w:webHidden/>
          </w:rPr>
          <w:fldChar w:fldCharType="begin"/>
        </w:r>
        <w:r w:rsidR="00E346BC">
          <w:rPr>
            <w:noProof/>
            <w:webHidden/>
          </w:rPr>
          <w:instrText xml:space="preserve"> PAGEREF _Toc490491623 \h </w:instrText>
        </w:r>
        <w:r w:rsidR="00E346BC">
          <w:rPr>
            <w:noProof/>
            <w:webHidden/>
          </w:rPr>
        </w:r>
        <w:r w:rsidR="00E346BC">
          <w:rPr>
            <w:noProof/>
            <w:webHidden/>
          </w:rPr>
          <w:fldChar w:fldCharType="separate"/>
        </w:r>
        <w:r w:rsidR="00E346BC">
          <w:rPr>
            <w:noProof/>
            <w:webHidden/>
          </w:rPr>
          <w:t>15</w:t>
        </w:r>
        <w:r w:rsidR="00E346BC">
          <w:rPr>
            <w:noProof/>
            <w:webHidden/>
          </w:rPr>
          <w:fldChar w:fldCharType="end"/>
        </w:r>
      </w:hyperlink>
    </w:p>
    <w:p w14:paraId="1A87CE4E" w14:textId="77777777" w:rsidR="00E346BC" w:rsidRDefault="009F48FC">
      <w:pPr>
        <w:pStyle w:val="TOC3"/>
        <w:tabs>
          <w:tab w:val="right" w:leader="dot" w:pos="10445"/>
        </w:tabs>
        <w:rPr>
          <w:rFonts w:eastAsiaTheme="minorEastAsia" w:cstheme="minorBidi"/>
          <w:noProof/>
          <w:color w:val="auto"/>
          <w:sz w:val="22"/>
          <w:szCs w:val="22"/>
        </w:rPr>
      </w:pPr>
      <w:hyperlink w:anchor="_Toc490491624" w:history="1">
        <w:r w:rsidR="00E346BC" w:rsidRPr="00A41F40">
          <w:rPr>
            <w:rStyle w:val="Hyperlink"/>
            <w:noProof/>
          </w:rPr>
          <w:t>Withheld payments</w:t>
        </w:r>
        <w:r w:rsidR="00E346BC">
          <w:rPr>
            <w:noProof/>
            <w:webHidden/>
          </w:rPr>
          <w:tab/>
        </w:r>
        <w:r w:rsidR="00E346BC">
          <w:rPr>
            <w:noProof/>
            <w:webHidden/>
          </w:rPr>
          <w:fldChar w:fldCharType="begin"/>
        </w:r>
        <w:r w:rsidR="00E346BC">
          <w:rPr>
            <w:noProof/>
            <w:webHidden/>
          </w:rPr>
          <w:instrText xml:space="preserve"> PAGEREF _Toc490491624 \h </w:instrText>
        </w:r>
        <w:r w:rsidR="00E346BC">
          <w:rPr>
            <w:noProof/>
            <w:webHidden/>
          </w:rPr>
        </w:r>
        <w:r w:rsidR="00E346BC">
          <w:rPr>
            <w:noProof/>
            <w:webHidden/>
          </w:rPr>
          <w:fldChar w:fldCharType="separate"/>
        </w:r>
        <w:r w:rsidR="00E346BC">
          <w:rPr>
            <w:noProof/>
            <w:webHidden/>
          </w:rPr>
          <w:t>16</w:t>
        </w:r>
        <w:r w:rsidR="00E346BC">
          <w:rPr>
            <w:noProof/>
            <w:webHidden/>
          </w:rPr>
          <w:fldChar w:fldCharType="end"/>
        </w:r>
      </w:hyperlink>
    </w:p>
    <w:p w14:paraId="67023577" w14:textId="77777777" w:rsidR="00E346BC" w:rsidRDefault="009F48FC">
      <w:pPr>
        <w:pStyle w:val="TOC3"/>
        <w:tabs>
          <w:tab w:val="right" w:leader="dot" w:pos="10445"/>
        </w:tabs>
        <w:rPr>
          <w:rFonts w:eastAsiaTheme="minorEastAsia" w:cstheme="minorBidi"/>
          <w:noProof/>
          <w:color w:val="auto"/>
          <w:sz w:val="22"/>
          <w:szCs w:val="22"/>
        </w:rPr>
      </w:pPr>
      <w:hyperlink w:anchor="_Toc490491625" w:history="1">
        <w:r w:rsidR="00E346BC" w:rsidRPr="00A41F40">
          <w:rPr>
            <w:rStyle w:val="Hyperlink"/>
            <w:noProof/>
          </w:rPr>
          <w:t>Recovery of payments</w:t>
        </w:r>
        <w:r w:rsidR="00E346BC">
          <w:rPr>
            <w:noProof/>
            <w:webHidden/>
          </w:rPr>
          <w:tab/>
        </w:r>
        <w:r w:rsidR="00E346BC">
          <w:rPr>
            <w:noProof/>
            <w:webHidden/>
          </w:rPr>
          <w:fldChar w:fldCharType="begin"/>
        </w:r>
        <w:r w:rsidR="00E346BC">
          <w:rPr>
            <w:noProof/>
            <w:webHidden/>
          </w:rPr>
          <w:instrText xml:space="preserve"> PAGEREF _Toc490491625 \h </w:instrText>
        </w:r>
        <w:r w:rsidR="00E346BC">
          <w:rPr>
            <w:noProof/>
            <w:webHidden/>
          </w:rPr>
        </w:r>
        <w:r w:rsidR="00E346BC">
          <w:rPr>
            <w:noProof/>
            <w:webHidden/>
          </w:rPr>
          <w:fldChar w:fldCharType="separate"/>
        </w:r>
        <w:r w:rsidR="00E346BC">
          <w:rPr>
            <w:noProof/>
            <w:webHidden/>
          </w:rPr>
          <w:t>16</w:t>
        </w:r>
        <w:r w:rsidR="00E346BC">
          <w:rPr>
            <w:noProof/>
            <w:webHidden/>
          </w:rPr>
          <w:fldChar w:fldCharType="end"/>
        </w:r>
      </w:hyperlink>
    </w:p>
    <w:p w14:paraId="5AC9F9BC" w14:textId="77777777" w:rsidR="00E346BC" w:rsidRDefault="009F48FC">
      <w:pPr>
        <w:pStyle w:val="TOC1"/>
        <w:tabs>
          <w:tab w:val="right" w:leader="dot" w:pos="10445"/>
        </w:tabs>
        <w:rPr>
          <w:rFonts w:eastAsiaTheme="minorEastAsia" w:cstheme="minorBidi"/>
          <w:b w:val="0"/>
          <w:bCs w:val="0"/>
          <w:noProof/>
          <w:color w:val="auto"/>
          <w:sz w:val="22"/>
          <w:szCs w:val="22"/>
        </w:rPr>
      </w:pPr>
      <w:hyperlink w:anchor="_Toc490491626" w:history="1">
        <w:r w:rsidR="00E346BC" w:rsidRPr="00A41F40">
          <w:rPr>
            <w:rStyle w:val="Hyperlink"/>
            <w:noProof/>
          </w:rPr>
          <w:t>Managing</w:t>
        </w:r>
        <w:r w:rsidR="00E346BC">
          <w:rPr>
            <w:noProof/>
            <w:webHidden/>
          </w:rPr>
          <w:tab/>
        </w:r>
        <w:r w:rsidR="00E346BC">
          <w:rPr>
            <w:noProof/>
            <w:webHidden/>
          </w:rPr>
          <w:fldChar w:fldCharType="begin"/>
        </w:r>
        <w:r w:rsidR="00E346BC">
          <w:rPr>
            <w:noProof/>
            <w:webHidden/>
          </w:rPr>
          <w:instrText xml:space="preserve"> PAGEREF _Toc490491626 \h </w:instrText>
        </w:r>
        <w:r w:rsidR="00E346BC">
          <w:rPr>
            <w:noProof/>
            <w:webHidden/>
          </w:rPr>
        </w:r>
        <w:r w:rsidR="00E346BC">
          <w:rPr>
            <w:noProof/>
            <w:webHidden/>
          </w:rPr>
          <w:fldChar w:fldCharType="separate"/>
        </w:r>
        <w:r w:rsidR="00E346BC">
          <w:rPr>
            <w:noProof/>
            <w:webHidden/>
          </w:rPr>
          <w:t>16</w:t>
        </w:r>
        <w:r w:rsidR="00E346BC">
          <w:rPr>
            <w:noProof/>
            <w:webHidden/>
          </w:rPr>
          <w:fldChar w:fldCharType="end"/>
        </w:r>
      </w:hyperlink>
    </w:p>
    <w:p w14:paraId="117E8388"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27" w:history="1">
        <w:r w:rsidR="00E346BC" w:rsidRPr="00A41F40">
          <w:rPr>
            <w:rStyle w:val="Hyperlink"/>
            <w:noProof/>
          </w:rPr>
          <w:t>Your obligations</w:t>
        </w:r>
        <w:r w:rsidR="00E346BC">
          <w:rPr>
            <w:noProof/>
            <w:webHidden/>
          </w:rPr>
          <w:tab/>
        </w:r>
        <w:r w:rsidR="00E346BC">
          <w:rPr>
            <w:noProof/>
            <w:webHidden/>
          </w:rPr>
          <w:fldChar w:fldCharType="begin"/>
        </w:r>
        <w:r w:rsidR="00E346BC">
          <w:rPr>
            <w:noProof/>
            <w:webHidden/>
          </w:rPr>
          <w:instrText xml:space="preserve"> PAGEREF _Toc490491627 \h </w:instrText>
        </w:r>
        <w:r w:rsidR="00E346BC">
          <w:rPr>
            <w:noProof/>
            <w:webHidden/>
          </w:rPr>
        </w:r>
        <w:r w:rsidR="00E346BC">
          <w:rPr>
            <w:noProof/>
            <w:webHidden/>
          </w:rPr>
          <w:fldChar w:fldCharType="separate"/>
        </w:r>
        <w:r w:rsidR="00E346BC">
          <w:rPr>
            <w:noProof/>
            <w:webHidden/>
          </w:rPr>
          <w:t>16</w:t>
        </w:r>
        <w:r w:rsidR="00E346BC">
          <w:rPr>
            <w:noProof/>
            <w:webHidden/>
          </w:rPr>
          <w:fldChar w:fldCharType="end"/>
        </w:r>
      </w:hyperlink>
    </w:p>
    <w:p w14:paraId="3D88B0E7"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28" w:history="1">
        <w:r w:rsidR="00E346BC" w:rsidRPr="00A41F40">
          <w:rPr>
            <w:rStyle w:val="Hyperlink"/>
            <w:noProof/>
          </w:rPr>
          <w:t>Withdrawing from the program</w:t>
        </w:r>
        <w:r w:rsidR="00E346BC">
          <w:rPr>
            <w:noProof/>
            <w:webHidden/>
          </w:rPr>
          <w:tab/>
        </w:r>
        <w:r w:rsidR="00E346BC">
          <w:rPr>
            <w:noProof/>
            <w:webHidden/>
          </w:rPr>
          <w:fldChar w:fldCharType="begin"/>
        </w:r>
        <w:r w:rsidR="00E346BC">
          <w:rPr>
            <w:noProof/>
            <w:webHidden/>
          </w:rPr>
          <w:instrText xml:space="preserve"> PAGEREF _Toc490491628 \h </w:instrText>
        </w:r>
        <w:r w:rsidR="00E346BC">
          <w:rPr>
            <w:noProof/>
            <w:webHidden/>
          </w:rPr>
        </w:r>
        <w:r w:rsidR="00E346BC">
          <w:rPr>
            <w:noProof/>
            <w:webHidden/>
          </w:rPr>
          <w:fldChar w:fldCharType="separate"/>
        </w:r>
        <w:r w:rsidR="00E346BC">
          <w:rPr>
            <w:noProof/>
            <w:webHidden/>
          </w:rPr>
          <w:t>17</w:t>
        </w:r>
        <w:r w:rsidR="00E346BC">
          <w:rPr>
            <w:noProof/>
            <w:webHidden/>
          </w:rPr>
          <w:fldChar w:fldCharType="end"/>
        </w:r>
      </w:hyperlink>
    </w:p>
    <w:p w14:paraId="3FF7661C"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29" w:history="1">
        <w:r w:rsidR="00E346BC" w:rsidRPr="00A41F40">
          <w:rPr>
            <w:rStyle w:val="Hyperlink"/>
            <w:noProof/>
          </w:rPr>
          <w:t>Privacy and consent</w:t>
        </w:r>
        <w:r w:rsidR="00E346BC">
          <w:rPr>
            <w:noProof/>
            <w:webHidden/>
          </w:rPr>
          <w:tab/>
        </w:r>
        <w:r w:rsidR="00E346BC">
          <w:rPr>
            <w:noProof/>
            <w:webHidden/>
          </w:rPr>
          <w:fldChar w:fldCharType="begin"/>
        </w:r>
        <w:r w:rsidR="00E346BC">
          <w:rPr>
            <w:noProof/>
            <w:webHidden/>
          </w:rPr>
          <w:instrText xml:space="preserve"> PAGEREF _Toc490491629 \h </w:instrText>
        </w:r>
        <w:r w:rsidR="00E346BC">
          <w:rPr>
            <w:noProof/>
            <w:webHidden/>
          </w:rPr>
        </w:r>
        <w:r w:rsidR="00E346BC">
          <w:rPr>
            <w:noProof/>
            <w:webHidden/>
          </w:rPr>
          <w:fldChar w:fldCharType="separate"/>
        </w:r>
        <w:r w:rsidR="00E346BC">
          <w:rPr>
            <w:noProof/>
            <w:webHidden/>
          </w:rPr>
          <w:t>18</w:t>
        </w:r>
        <w:r w:rsidR="00E346BC">
          <w:rPr>
            <w:noProof/>
            <w:webHidden/>
          </w:rPr>
          <w:fldChar w:fldCharType="end"/>
        </w:r>
      </w:hyperlink>
    </w:p>
    <w:p w14:paraId="111511FF"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30" w:history="1">
        <w:r w:rsidR="00E346BC" w:rsidRPr="00A41F40">
          <w:rPr>
            <w:rStyle w:val="Hyperlink"/>
            <w:noProof/>
          </w:rPr>
          <w:t>Rights of review</w:t>
        </w:r>
        <w:r w:rsidR="00E346BC">
          <w:rPr>
            <w:noProof/>
            <w:webHidden/>
          </w:rPr>
          <w:tab/>
        </w:r>
        <w:r w:rsidR="00E346BC">
          <w:rPr>
            <w:noProof/>
            <w:webHidden/>
          </w:rPr>
          <w:fldChar w:fldCharType="begin"/>
        </w:r>
        <w:r w:rsidR="00E346BC">
          <w:rPr>
            <w:noProof/>
            <w:webHidden/>
          </w:rPr>
          <w:instrText xml:space="preserve"> PAGEREF _Toc490491630 \h </w:instrText>
        </w:r>
        <w:r w:rsidR="00E346BC">
          <w:rPr>
            <w:noProof/>
            <w:webHidden/>
          </w:rPr>
        </w:r>
        <w:r w:rsidR="00E346BC">
          <w:rPr>
            <w:noProof/>
            <w:webHidden/>
          </w:rPr>
          <w:fldChar w:fldCharType="separate"/>
        </w:r>
        <w:r w:rsidR="00E346BC">
          <w:rPr>
            <w:noProof/>
            <w:webHidden/>
          </w:rPr>
          <w:t>18</w:t>
        </w:r>
        <w:r w:rsidR="00E346BC">
          <w:rPr>
            <w:noProof/>
            <w:webHidden/>
          </w:rPr>
          <w:fldChar w:fldCharType="end"/>
        </w:r>
      </w:hyperlink>
    </w:p>
    <w:p w14:paraId="70602499"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31" w:history="1">
        <w:r w:rsidR="00E346BC" w:rsidRPr="00A41F40">
          <w:rPr>
            <w:rStyle w:val="Hyperlink"/>
            <w:noProof/>
            <w:lang w:val="en-US"/>
          </w:rPr>
          <w:t>Audits</w:t>
        </w:r>
        <w:r w:rsidR="00E346BC">
          <w:rPr>
            <w:noProof/>
            <w:webHidden/>
          </w:rPr>
          <w:tab/>
        </w:r>
        <w:r w:rsidR="00E346BC">
          <w:rPr>
            <w:noProof/>
            <w:webHidden/>
          </w:rPr>
          <w:fldChar w:fldCharType="begin"/>
        </w:r>
        <w:r w:rsidR="00E346BC">
          <w:rPr>
            <w:noProof/>
            <w:webHidden/>
          </w:rPr>
          <w:instrText xml:space="preserve"> PAGEREF _Toc490491631 \h </w:instrText>
        </w:r>
        <w:r w:rsidR="00E346BC">
          <w:rPr>
            <w:noProof/>
            <w:webHidden/>
          </w:rPr>
        </w:r>
        <w:r w:rsidR="00E346BC">
          <w:rPr>
            <w:noProof/>
            <w:webHidden/>
          </w:rPr>
          <w:fldChar w:fldCharType="separate"/>
        </w:r>
        <w:r w:rsidR="00E346BC">
          <w:rPr>
            <w:noProof/>
            <w:webHidden/>
          </w:rPr>
          <w:t>19</w:t>
        </w:r>
        <w:r w:rsidR="00E346BC">
          <w:rPr>
            <w:noProof/>
            <w:webHidden/>
          </w:rPr>
          <w:fldChar w:fldCharType="end"/>
        </w:r>
      </w:hyperlink>
    </w:p>
    <w:p w14:paraId="3368EDEE"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32" w:history="1">
        <w:r w:rsidR="00E346BC" w:rsidRPr="00A41F40">
          <w:rPr>
            <w:rStyle w:val="Hyperlink"/>
            <w:noProof/>
          </w:rPr>
          <w:t>Contact us</w:t>
        </w:r>
        <w:r w:rsidR="00E346BC">
          <w:rPr>
            <w:noProof/>
            <w:webHidden/>
          </w:rPr>
          <w:tab/>
        </w:r>
        <w:r w:rsidR="00E346BC">
          <w:rPr>
            <w:noProof/>
            <w:webHidden/>
          </w:rPr>
          <w:fldChar w:fldCharType="begin"/>
        </w:r>
        <w:r w:rsidR="00E346BC">
          <w:rPr>
            <w:noProof/>
            <w:webHidden/>
          </w:rPr>
          <w:instrText xml:space="preserve"> PAGEREF _Toc490491632 \h </w:instrText>
        </w:r>
        <w:r w:rsidR="00E346BC">
          <w:rPr>
            <w:noProof/>
            <w:webHidden/>
          </w:rPr>
        </w:r>
        <w:r w:rsidR="00E346BC">
          <w:rPr>
            <w:noProof/>
            <w:webHidden/>
          </w:rPr>
          <w:fldChar w:fldCharType="separate"/>
        </w:r>
        <w:r w:rsidR="00E346BC">
          <w:rPr>
            <w:noProof/>
            <w:webHidden/>
          </w:rPr>
          <w:t>19</w:t>
        </w:r>
        <w:r w:rsidR="00E346BC">
          <w:rPr>
            <w:noProof/>
            <w:webHidden/>
          </w:rPr>
          <w:fldChar w:fldCharType="end"/>
        </w:r>
      </w:hyperlink>
    </w:p>
    <w:p w14:paraId="5B7C901C"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33" w:history="1">
        <w:r w:rsidR="00E346BC" w:rsidRPr="00A41F40">
          <w:rPr>
            <w:rStyle w:val="Hyperlink"/>
            <w:noProof/>
          </w:rPr>
          <w:t>Disclaimer</w:t>
        </w:r>
        <w:r w:rsidR="00E346BC">
          <w:rPr>
            <w:noProof/>
            <w:webHidden/>
          </w:rPr>
          <w:tab/>
        </w:r>
        <w:r w:rsidR="00E346BC">
          <w:rPr>
            <w:noProof/>
            <w:webHidden/>
          </w:rPr>
          <w:fldChar w:fldCharType="begin"/>
        </w:r>
        <w:r w:rsidR="00E346BC">
          <w:rPr>
            <w:noProof/>
            <w:webHidden/>
          </w:rPr>
          <w:instrText xml:space="preserve"> PAGEREF _Toc490491633 \h </w:instrText>
        </w:r>
        <w:r w:rsidR="00E346BC">
          <w:rPr>
            <w:noProof/>
            <w:webHidden/>
          </w:rPr>
        </w:r>
        <w:r w:rsidR="00E346BC">
          <w:rPr>
            <w:noProof/>
            <w:webHidden/>
          </w:rPr>
          <w:fldChar w:fldCharType="separate"/>
        </w:r>
        <w:r w:rsidR="00E346BC">
          <w:rPr>
            <w:noProof/>
            <w:webHidden/>
          </w:rPr>
          <w:t>19</w:t>
        </w:r>
        <w:r w:rsidR="00E346BC">
          <w:rPr>
            <w:noProof/>
            <w:webHidden/>
          </w:rPr>
          <w:fldChar w:fldCharType="end"/>
        </w:r>
      </w:hyperlink>
    </w:p>
    <w:p w14:paraId="54B17B68" w14:textId="77777777" w:rsidR="00E346BC" w:rsidRDefault="009F48FC">
      <w:pPr>
        <w:pStyle w:val="TOC2"/>
        <w:tabs>
          <w:tab w:val="right" w:leader="dot" w:pos="10445"/>
        </w:tabs>
        <w:rPr>
          <w:rFonts w:eastAsiaTheme="minorEastAsia" w:cstheme="minorBidi"/>
          <w:i w:val="0"/>
          <w:iCs w:val="0"/>
          <w:noProof/>
          <w:color w:val="auto"/>
          <w:sz w:val="22"/>
          <w:szCs w:val="22"/>
        </w:rPr>
      </w:pPr>
      <w:hyperlink w:anchor="_Toc490491634" w:history="1">
        <w:r w:rsidR="00E346BC" w:rsidRPr="00A41F40">
          <w:rPr>
            <w:rStyle w:val="Hyperlink"/>
            <w:noProof/>
          </w:rPr>
          <w:t>Glossary of PNIP terms</w:t>
        </w:r>
        <w:r w:rsidR="00E346BC">
          <w:rPr>
            <w:noProof/>
            <w:webHidden/>
          </w:rPr>
          <w:tab/>
        </w:r>
        <w:r w:rsidR="00E346BC">
          <w:rPr>
            <w:noProof/>
            <w:webHidden/>
          </w:rPr>
          <w:fldChar w:fldCharType="begin"/>
        </w:r>
        <w:r w:rsidR="00E346BC">
          <w:rPr>
            <w:noProof/>
            <w:webHidden/>
          </w:rPr>
          <w:instrText xml:space="preserve"> PAGEREF _Toc490491634 \h </w:instrText>
        </w:r>
        <w:r w:rsidR="00E346BC">
          <w:rPr>
            <w:noProof/>
            <w:webHidden/>
          </w:rPr>
        </w:r>
        <w:r w:rsidR="00E346BC">
          <w:rPr>
            <w:noProof/>
            <w:webHidden/>
          </w:rPr>
          <w:fldChar w:fldCharType="separate"/>
        </w:r>
        <w:r w:rsidR="00E346BC">
          <w:rPr>
            <w:noProof/>
            <w:webHidden/>
          </w:rPr>
          <w:t>20</w:t>
        </w:r>
        <w:r w:rsidR="00E346BC">
          <w:rPr>
            <w:noProof/>
            <w:webHidden/>
          </w:rPr>
          <w:fldChar w:fldCharType="end"/>
        </w:r>
      </w:hyperlink>
    </w:p>
    <w:p w14:paraId="4BA7F104" w14:textId="288D58E1" w:rsidR="00346717" w:rsidRPr="00346717" w:rsidRDefault="00346717" w:rsidP="00346717">
      <w:r>
        <w:fldChar w:fldCharType="end"/>
      </w:r>
    </w:p>
    <w:p w14:paraId="337BD09D" w14:textId="48AD7482" w:rsidR="00B62FF8" w:rsidRDefault="00302EA3" w:rsidP="004C32F0">
      <w:pPr>
        <w:pStyle w:val="Heading1"/>
        <w:ind w:left="0"/>
      </w:pPr>
      <w:bookmarkStart w:id="1" w:name="_Toc490491595"/>
      <w:r w:rsidRPr="00C10DFD">
        <w:t>Eligibility</w:t>
      </w:r>
      <w:bookmarkEnd w:id="1"/>
    </w:p>
    <w:p w14:paraId="2FFEDE12" w14:textId="0E6DC04F" w:rsidR="00E106D5" w:rsidRPr="003B7BF0" w:rsidRDefault="00E106D5" w:rsidP="003B7BF0">
      <w:pPr>
        <w:pStyle w:val="Heading2"/>
      </w:pPr>
      <w:bookmarkStart w:id="2" w:name="_Toc490491596"/>
      <w:r w:rsidRPr="003B7BF0">
        <w:t>About</w:t>
      </w:r>
      <w:r w:rsidR="00D34680" w:rsidRPr="003B7BF0">
        <w:t xml:space="preserve"> the PNIP</w:t>
      </w:r>
      <w:bookmarkEnd w:id="2"/>
    </w:p>
    <w:p w14:paraId="4CF45D7B" w14:textId="6957F565" w:rsidR="006912E5" w:rsidRPr="006912E5" w:rsidRDefault="006912E5" w:rsidP="006912E5">
      <w:r w:rsidRPr="006912E5">
        <w:t xml:space="preserve">We deliver the </w:t>
      </w:r>
      <w:r w:rsidR="003E39A5">
        <w:t>Practice Nurse Incentive Program (</w:t>
      </w:r>
      <w:r w:rsidRPr="006912E5">
        <w:t>PNIP</w:t>
      </w:r>
      <w:r w:rsidR="003E39A5">
        <w:t>)</w:t>
      </w:r>
      <w:r w:rsidRPr="006912E5">
        <w:t xml:space="preserve"> on behalf of the Department of Health and the Department of Veterans’ Affairs (DVA). </w:t>
      </w:r>
      <w:r w:rsidR="003C63FD">
        <w:t xml:space="preserve"> </w:t>
      </w:r>
    </w:p>
    <w:p w14:paraId="76B02039" w14:textId="5913FF1A" w:rsidR="006912E5" w:rsidRPr="006912E5" w:rsidRDefault="005B6A42" w:rsidP="006912E5">
      <w:r>
        <w:t xml:space="preserve">The </w:t>
      </w:r>
      <w:r w:rsidR="006912E5" w:rsidRPr="006912E5">
        <w:t>PNIP provides incentive payments to eligible general practices to support an expanded and enhanced role for nurses employed in general practice</w:t>
      </w:r>
      <w:r w:rsidR="006912E5">
        <w:t>.</w:t>
      </w:r>
    </w:p>
    <w:p w14:paraId="5DD127E9" w14:textId="336495E3" w:rsidR="006912E5" w:rsidRPr="006912E5" w:rsidRDefault="006912E5" w:rsidP="006912E5">
      <w:r>
        <w:t>It aims to</w:t>
      </w:r>
      <w:r w:rsidRPr="006912E5">
        <w:t>:</w:t>
      </w:r>
    </w:p>
    <w:p w14:paraId="3BF50391" w14:textId="06DF7E8C" w:rsidR="006912E5" w:rsidRPr="006912E5" w:rsidRDefault="006912E5" w:rsidP="006912E5">
      <w:pPr>
        <w:pStyle w:val="PNIPbullets"/>
      </w:pPr>
      <w:r>
        <w:t>provide</w:t>
      </w:r>
      <w:r w:rsidRPr="006912E5">
        <w:t xml:space="preserve"> a single </w:t>
      </w:r>
      <w:r w:rsidR="003C63FD">
        <w:t xml:space="preserve">source of </w:t>
      </w:r>
      <w:r w:rsidRPr="006912E5">
        <w:t>funding to help practices engage eligible health workers in areas of greatest need</w:t>
      </w:r>
    </w:p>
    <w:p w14:paraId="4196970F" w14:textId="6C0D1A63" w:rsidR="006912E5" w:rsidRPr="006912E5" w:rsidRDefault="006912E5" w:rsidP="006912E5">
      <w:pPr>
        <w:pStyle w:val="PNIPbullets"/>
      </w:pPr>
      <w:r w:rsidRPr="006912E5">
        <w:t xml:space="preserve">support eligible health workers in activities including preventative health and education programs, quality chronic disease management and care coordination, and supported self-management, and </w:t>
      </w:r>
    </w:p>
    <w:p w14:paraId="492DFBEE" w14:textId="213F71B0" w:rsidR="006912E5" w:rsidRPr="006912E5" w:rsidRDefault="006912E5" w:rsidP="006912E5">
      <w:pPr>
        <w:pStyle w:val="PNIPbullets"/>
      </w:pPr>
      <w:r w:rsidRPr="006912E5">
        <w:t>provide support for eligible health workers in Australia</w:t>
      </w:r>
    </w:p>
    <w:p w14:paraId="536D9829" w14:textId="77777777" w:rsidR="006912E5" w:rsidRDefault="00A44C93" w:rsidP="004C32F0">
      <w:pPr>
        <w:ind w:left="360" w:firstLine="349"/>
      </w:pPr>
      <w:r>
        <w:t>The PNIP</w:t>
      </w:r>
      <w:r w:rsidR="006912E5">
        <w:t xml:space="preserve"> includes:</w:t>
      </w:r>
    </w:p>
    <w:p w14:paraId="3820FCA5" w14:textId="165C39ED" w:rsidR="006912E5" w:rsidRPr="006A4997" w:rsidRDefault="006912E5" w:rsidP="006912E5">
      <w:pPr>
        <w:pStyle w:val="PNIPbullets"/>
        <w:rPr>
          <w:lang w:val="en-GB"/>
        </w:rPr>
      </w:pPr>
      <w:r w:rsidRPr="006912E5">
        <w:rPr>
          <w:lang w:val="en-GB"/>
        </w:rPr>
        <w:t xml:space="preserve">support for all accredited general practices to employ an </w:t>
      </w:r>
      <w:r w:rsidRPr="004A609F">
        <w:rPr>
          <w:lang w:val="en-GB"/>
        </w:rPr>
        <w:t xml:space="preserve">Aboriginal and Torres Strait Islander </w:t>
      </w:r>
      <w:r w:rsidR="0037699E" w:rsidRPr="004A609F">
        <w:rPr>
          <w:lang w:val="en-GB"/>
        </w:rPr>
        <w:t>Health W</w:t>
      </w:r>
      <w:r w:rsidRPr="004A609F">
        <w:rPr>
          <w:lang w:val="en-GB"/>
        </w:rPr>
        <w:t>orker</w:t>
      </w:r>
      <w:r w:rsidRPr="00873167">
        <w:rPr>
          <w:lang w:val="en-GB"/>
        </w:rPr>
        <w:t xml:space="preserve"> or an </w:t>
      </w:r>
      <w:r w:rsidRPr="004A609F">
        <w:rPr>
          <w:lang w:val="en-GB"/>
        </w:rPr>
        <w:t xml:space="preserve">Aboriginal and Torres Strait Islander </w:t>
      </w:r>
      <w:r w:rsidR="0037699E" w:rsidRPr="004A609F">
        <w:rPr>
          <w:lang w:val="en-GB"/>
        </w:rPr>
        <w:t>H</w:t>
      </w:r>
      <w:r w:rsidRPr="004A609F">
        <w:rPr>
          <w:lang w:val="en-GB"/>
        </w:rPr>
        <w:t xml:space="preserve">ealth </w:t>
      </w:r>
      <w:r w:rsidR="0037699E" w:rsidRPr="004A609F">
        <w:rPr>
          <w:lang w:val="en-GB"/>
        </w:rPr>
        <w:t>P</w:t>
      </w:r>
      <w:r w:rsidRPr="004A609F">
        <w:rPr>
          <w:lang w:val="en-GB"/>
        </w:rPr>
        <w:t xml:space="preserve">ractitioner </w:t>
      </w:r>
      <w:r w:rsidRPr="001A5530">
        <w:rPr>
          <w:lang w:val="en-GB"/>
        </w:rPr>
        <w:t xml:space="preserve">instead of, or in addition to, an eligible practice </w:t>
      </w:r>
      <w:r w:rsidRPr="006A4997">
        <w:rPr>
          <w:lang w:val="en-GB"/>
        </w:rPr>
        <w:t>nurse</w:t>
      </w:r>
    </w:p>
    <w:p w14:paraId="64890853" w14:textId="11A7C886" w:rsidR="006912E5" w:rsidRPr="004A609F" w:rsidRDefault="006912E5" w:rsidP="006912E5">
      <w:pPr>
        <w:pStyle w:val="PNIPbullets"/>
        <w:rPr>
          <w:lang w:val="en-GB"/>
        </w:rPr>
      </w:pPr>
      <w:r w:rsidRPr="006A4997">
        <w:rPr>
          <w:lang w:val="en-GB"/>
        </w:rPr>
        <w:t>support for Aboriginal Medical Service</w:t>
      </w:r>
      <w:r w:rsidR="003C63FD" w:rsidRPr="006A4997">
        <w:rPr>
          <w:lang w:val="en-GB"/>
        </w:rPr>
        <w:t>s</w:t>
      </w:r>
      <w:r w:rsidRPr="006A4997">
        <w:rPr>
          <w:lang w:val="en-GB"/>
        </w:rPr>
        <w:t xml:space="preserve"> (AMS</w:t>
      </w:r>
      <w:r w:rsidR="003C63FD" w:rsidRPr="006A4997">
        <w:rPr>
          <w:lang w:val="en-GB"/>
        </w:rPr>
        <w:t>s</w:t>
      </w:r>
      <w:r w:rsidRPr="006A4997">
        <w:rPr>
          <w:lang w:val="en-GB"/>
        </w:rPr>
        <w:t>)</w:t>
      </w:r>
      <w:r w:rsidR="003C63FD" w:rsidRPr="006A4997">
        <w:rPr>
          <w:lang w:val="en-GB"/>
        </w:rPr>
        <w:t>,</w:t>
      </w:r>
      <w:r w:rsidRPr="006A4997">
        <w:rPr>
          <w:lang w:val="en-GB"/>
        </w:rPr>
        <w:t xml:space="preserve"> Aboriginal Community Controlled Health Service</w:t>
      </w:r>
      <w:r w:rsidR="003C63FD" w:rsidRPr="006A4997">
        <w:rPr>
          <w:lang w:val="en-GB"/>
        </w:rPr>
        <w:t>s</w:t>
      </w:r>
      <w:r w:rsidRPr="006A4997">
        <w:rPr>
          <w:lang w:val="en-GB"/>
        </w:rPr>
        <w:t xml:space="preserve"> (ACCHS</w:t>
      </w:r>
      <w:r w:rsidR="003C63FD" w:rsidRPr="006A4997">
        <w:rPr>
          <w:lang w:val="en-GB"/>
        </w:rPr>
        <w:t>s</w:t>
      </w:r>
      <w:r w:rsidRPr="006A4997">
        <w:rPr>
          <w:lang w:val="en-GB"/>
        </w:rPr>
        <w:t>)</w:t>
      </w:r>
      <w:r w:rsidR="003C63FD" w:rsidRPr="006A4997">
        <w:rPr>
          <w:lang w:val="en-GB"/>
        </w:rPr>
        <w:t xml:space="preserve"> and practices in urban areas of workforce shortage (UAWSs)</w:t>
      </w:r>
      <w:r w:rsidRPr="006A4997" w:rsidDel="00F3690F">
        <w:rPr>
          <w:lang w:val="en-GB"/>
        </w:rPr>
        <w:t xml:space="preserve"> </w:t>
      </w:r>
      <w:r w:rsidRPr="006A4997">
        <w:rPr>
          <w:lang w:val="en-GB"/>
        </w:rPr>
        <w:t xml:space="preserve">to employ allied health professionals instead of, or in addition to, a practice nurse, </w:t>
      </w:r>
      <w:r w:rsidRPr="004A609F">
        <w:rPr>
          <w:lang w:val="en-GB"/>
        </w:rPr>
        <w:t xml:space="preserve">Aboriginal and Torres Strait Islander </w:t>
      </w:r>
      <w:r w:rsidR="0037699E" w:rsidRPr="004A609F">
        <w:rPr>
          <w:lang w:val="en-GB"/>
        </w:rPr>
        <w:t>Health Worker</w:t>
      </w:r>
      <w:r w:rsidR="0037699E" w:rsidRPr="006A4997">
        <w:rPr>
          <w:lang w:val="en-GB"/>
        </w:rPr>
        <w:t xml:space="preserve"> </w:t>
      </w:r>
      <w:r w:rsidRPr="006A4997">
        <w:rPr>
          <w:lang w:val="en-GB"/>
        </w:rPr>
        <w:t xml:space="preserve">or </w:t>
      </w:r>
      <w:r w:rsidRPr="004A609F">
        <w:rPr>
          <w:lang w:val="en-GB"/>
        </w:rPr>
        <w:t xml:space="preserve">Aboriginal and Torres Strait Islander </w:t>
      </w:r>
      <w:r w:rsidR="0037699E" w:rsidRPr="004A609F">
        <w:rPr>
          <w:lang w:val="en-GB"/>
        </w:rPr>
        <w:t>Health Practitioner</w:t>
      </w:r>
    </w:p>
    <w:p w14:paraId="781155CE" w14:textId="02D81A52" w:rsidR="006912E5" w:rsidRPr="006912E5" w:rsidRDefault="006912E5" w:rsidP="006912E5">
      <w:pPr>
        <w:pStyle w:val="PNIPbullets"/>
        <w:rPr>
          <w:lang w:val="en-GB"/>
        </w:rPr>
      </w:pPr>
      <w:r w:rsidRPr="006912E5">
        <w:rPr>
          <w:lang w:val="en-GB"/>
        </w:rPr>
        <w:t>a rural loading of up to 50% based on the Australian Standard Geographical Classification – Remoteness Areas classification of the practice</w:t>
      </w:r>
    </w:p>
    <w:p w14:paraId="4C15B121" w14:textId="2E03D359" w:rsidR="006912E5" w:rsidRPr="006912E5" w:rsidRDefault="006912E5" w:rsidP="006912E5">
      <w:pPr>
        <w:pStyle w:val="PNIPbullets"/>
        <w:rPr>
          <w:lang w:val="en-GB"/>
        </w:rPr>
      </w:pPr>
      <w:r w:rsidRPr="006912E5">
        <w:rPr>
          <w:lang w:val="en-GB"/>
        </w:rPr>
        <w:t>a one-off $5,000 incentive to support eligible, non-accredited practices to become accredited within 12 months of joining the program</w:t>
      </w:r>
    </w:p>
    <w:p w14:paraId="77390B0A" w14:textId="44AEC6D0" w:rsidR="006912E5" w:rsidRPr="006912E5" w:rsidRDefault="006912E5" w:rsidP="006912E5">
      <w:pPr>
        <w:pStyle w:val="PNIPbullets"/>
        <w:rPr>
          <w:b/>
          <w:bCs/>
          <w:lang w:val="en-GB"/>
        </w:rPr>
      </w:pPr>
      <w:r w:rsidRPr="006912E5">
        <w:rPr>
          <w:lang w:val="en-GB"/>
        </w:rPr>
        <w:t xml:space="preserve">a </w:t>
      </w:r>
      <w:r w:rsidR="003C63FD">
        <w:rPr>
          <w:lang w:val="en-GB"/>
        </w:rPr>
        <w:t xml:space="preserve">50% increase in the </w:t>
      </w:r>
      <w:r w:rsidRPr="006912E5">
        <w:rPr>
          <w:lang w:val="en-GB"/>
        </w:rPr>
        <w:t>Standard Whole Patient Equivalent values for AMS</w:t>
      </w:r>
      <w:r w:rsidR="003C63FD">
        <w:rPr>
          <w:lang w:val="en-GB"/>
        </w:rPr>
        <w:t>s</w:t>
      </w:r>
      <w:r w:rsidRPr="006912E5">
        <w:rPr>
          <w:lang w:val="en-GB"/>
        </w:rPr>
        <w:t xml:space="preserve"> and ACCHS</w:t>
      </w:r>
      <w:r w:rsidR="003C63FD">
        <w:rPr>
          <w:lang w:val="en-GB"/>
        </w:rPr>
        <w:t>s</w:t>
      </w:r>
      <w:r w:rsidRPr="006912E5">
        <w:rPr>
          <w:lang w:val="en-GB"/>
        </w:rPr>
        <w:t xml:space="preserve"> </w:t>
      </w:r>
      <w:r w:rsidR="003C63FD">
        <w:rPr>
          <w:lang w:val="en-GB"/>
        </w:rPr>
        <w:t xml:space="preserve"> </w:t>
      </w:r>
    </w:p>
    <w:p w14:paraId="6269667B" w14:textId="46DEA267" w:rsidR="006912E5" w:rsidRDefault="006912E5" w:rsidP="006912E5">
      <w:pPr>
        <w:pStyle w:val="PNIPbullets"/>
        <w:rPr>
          <w:lang w:val="en-GB"/>
        </w:rPr>
      </w:pPr>
      <w:r w:rsidRPr="006912E5">
        <w:rPr>
          <w:lang w:val="en-GB"/>
        </w:rPr>
        <w:t>a loading for practices provid</w:t>
      </w:r>
      <w:r w:rsidR="005B6A42">
        <w:rPr>
          <w:lang w:val="en-GB"/>
        </w:rPr>
        <w:t>ing</w:t>
      </w:r>
      <w:r w:rsidRPr="006912E5">
        <w:rPr>
          <w:lang w:val="en-GB"/>
        </w:rPr>
        <w:t xml:space="preserve"> general practitioner services to DVA Gold Card holders</w:t>
      </w:r>
    </w:p>
    <w:p w14:paraId="12BA3F43" w14:textId="77777777" w:rsidR="00BD6E41" w:rsidRDefault="00BD6E41" w:rsidP="008F748D">
      <w:pPr>
        <w:pStyle w:val="PNIPbullets"/>
        <w:numPr>
          <w:ilvl w:val="0"/>
          <w:numId w:val="0"/>
        </w:numPr>
        <w:ind w:left="1619"/>
        <w:rPr>
          <w:lang w:val="en-GB"/>
        </w:rPr>
      </w:pPr>
    </w:p>
    <w:p w14:paraId="0E19B1C1" w14:textId="3402D3C9" w:rsidR="00BD6E41" w:rsidRDefault="00BD6E41" w:rsidP="00D00456">
      <w:pPr>
        <w:pStyle w:val="PNIPbullets"/>
        <w:numPr>
          <w:ilvl w:val="0"/>
          <w:numId w:val="0"/>
        </w:numPr>
        <w:ind w:left="709" w:firstLine="11"/>
        <w:rPr>
          <w:lang w:val="en-GB"/>
        </w:rPr>
      </w:pPr>
      <w:r>
        <w:rPr>
          <w:lang w:val="en-GB"/>
        </w:rPr>
        <w:t>Eligible practices can apply for incentives through the PNIP to employ or otherwise retain the services</w:t>
      </w:r>
      <w:r w:rsidR="00F47CF9">
        <w:rPr>
          <w:lang w:val="en-GB"/>
        </w:rPr>
        <w:t xml:space="preserve"> </w:t>
      </w:r>
      <w:r>
        <w:rPr>
          <w:lang w:val="en-GB"/>
        </w:rPr>
        <w:t>of:</w:t>
      </w:r>
    </w:p>
    <w:p w14:paraId="65E46ED7" w14:textId="62CED83C" w:rsidR="00BD6E41" w:rsidRDefault="00BD6E41" w:rsidP="004A609F">
      <w:pPr>
        <w:pStyle w:val="PNIPbullets"/>
        <w:numPr>
          <w:ilvl w:val="0"/>
          <w:numId w:val="8"/>
        </w:numPr>
        <w:rPr>
          <w:lang w:val="en-GB"/>
        </w:rPr>
      </w:pPr>
      <w:r>
        <w:rPr>
          <w:lang w:val="en-GB"/>
        </w:rPr>
        <w:t>registered nurse</w:t>
      </w:r>
    </w:p>
    <w:p w14:paraId="344A5183" w14:textId="3D21E5E5" w:rsidR="00BD6E41" w:rsidRDefault="00BD6E41" w:rsidP="004A609F">
      <w:pPr>
        <w:pStyle w:val="PNIPbullets"/>
        <w:numPr>
          <w:ilvl w:val="0"/>
          <w:numId w:val="8"/>
        </w:numPr>
        <w:rPr>
          <w:lang w:val="en-GB"/>
        </w:rPr>
      </w:pPr>
      <w:r>
        <w:rPr>
          <w:lang w:val="en-GB"/>
        </w:rPr>
        <w:t>enrolled nurse</w:t>
      </w:r>
    </w:p>
    <w:p w14:paraId="587D4EEB" w14:textId="1903A0CD" w:rsidR="00BD6E41" w:rsidRDefault="00BD6E41" w:rsidP="004A609F">
      <w:pPr>
        <w:pStyle w:val="PNIPbullets"/>
        <w:numPr>
          <w:ilvl w:val="0"/>
          <w:numId w:val="8"/>
        </w:numPr>
        <w:rPr>
          <w:lang w:val="en-GB"/>
        </w:rPr>
      </w:pPr>
      <w:r>
        <w:rPr>
          <w:lang w:val="en-GB"/>
        </w:rPr>
        <w:lastRenderedPageBreak/>
        <w:t>allied health professionals</w:t>
      </w:r>
    </w:p>
    <w:p w14:paraId="2559FB06" w14:textId="068C38CF" w:rsidR="00BD6E41" w:rsidRPr="00873167" w:rsidRDefault="00BD6E41" w:rsidP="004A609F">
      <w:pPr>
        <w:pStyle w:val="PNIPbullets"/>
        <w:numPr>
          <w:ilvl w:val="0"/>
          <w:numId w:val="8"/>
        </w:numPr>
        <w:rPr>
          <w:lang w:val="en-GB"/>
        </w:rPr>
      </w:pPr>
      <w:r w:rsidRPr="004A609F">
        <w:rPr>
          <w:lang w:val="en-GB"/>
        </w:rPr>
        <w:t xml:space="preserve">Aboriginal and Torres Strait Islander </w:t>
      </w:r>
      <w:r w:rsidR="0037699E" w:rsidRPr="004A609F">
        <w:rPr>
          <w:lang w:val="en-GB"/>
        </w:rPr>
        <w:t>H</w:t>
      </w:r>
      <w:r w:rsidRPr="004A609F">
        <w:rPr>
          <w:lang w:val="en-GB"/>
        </w:rPr>
        <w:t xml:space="preserve">ealth </w:t>
      </w:r>
      <w:r w:rsidR="0037699E" w:rsidRPr="004A609F">
        <w:rPr>
          <w:lang w:val="en-GB"/>
        </w:rPr>
        <w:t>W</w:t>
      </w:r>
      <w:r w:rsidRPr="004A609F">
        <w:rPr>
          <w:lang w:val="en-GB"/>
        </w:rPr>
        <w:t>orkers</w:t>
      </w:r>
      <w:r w:rsidR="00EE2030" w:rsidRPr="00873167">
        <w:rPr>
          <w:lang w:val="en-GB"/>
        </w:rPr>
        <w:t>,</w:t>
      </w:r>
      <w:r w:rsidRPr="00873167">
        <w:rPr>
          <w:lang w:val="en-GB"/>
        </w:rPr>
        <w:t xml:space="preserve"> and </w:t>
      </w:r>
    </w:p>
    <w:p w14:paraId="2FA57352" w14:textId="694708D4" w:rsidR="00BD6E41" w:rsidRPr="00873167" w:rsidRDefault="00BD6E41" w:rsidP="004A609F">
      <w:pPr>
        <w:pStyle w:val="PNIPbullets"/>
        <w:numPr>
          <w:ilvl w:val="0"/>
          <w:numId w:val="8"/>
        </w:numPr>
        <w:rPr>
          <w:lang w:val="en-GB"/>
        </w:rPr>
      </w:pPr>
      <w:r w:rsidRPr="004A609F">
        <w:rPr>
          <w:lang w:val="en-GB"/>
        </w:rPr>
        <w:t>Aboriginal and Torres Strait Islander</w:t>
      </w:r>
      <w:r w:rsidR="0037699E" w:rsidRPr="004A609F">
        <w:rPr>
          <w:lang w:val="en-GB"/>
        </w:rPr>
        <w:t xml:space="preserve"> H</w:t>
      </w:r>
      <w:r w:rsidR="004B3613" w:rsidRPr="004A609F">
        <w:rPr>
          <w:lang w:val="en-GB"/>
        </w:rPr>
        <w:t>ealth</w:t>
      </w:r>
      <w:r w:rsidRPr="004A609F">
        <w:rPr>
          <w:lang w:val="en-GB"/>
        </w:rPr>
        <w:t xml:space="preserve"> </w:t>
      </w:r>
      <w:r w:rsidR="0037699E" w:rsidRPr="004A609F">
        <w:rPr>
          <w:lang w:val="en-GB"/>
        </w:rPr>
        <w:t>P</w:t>
      </w:r>
      <w:r w:rsidRPr="004A609F">
        <w:rPr>
          <w:lang w:val="en-GB"/>
        </w:rPr>
        <w:t>ractitioners</w:t>
      </w:r>
    </w:p>
    <w:p w14:paraId="534F98CB" w14:textId="77777777" w:rsidR="00BD6E41" w:rsidRPr="006912E5" w:rsidRDefault="00BD6E41" w:rsidP="00122052">
      <w:pPr>
        <w:pStyle w:val="PNIPbullets"/>
        <w:numPr>
          <w:ilvl w:val="0"/>
          <w:numId w:val="0"/>
        </w:numPr>
        <w:ind w:left="1619" w:hanging="360"/>
        <w:rPr>
          <w:lang w:val="en-GB"/>
        </w:rPr>
      </w:pPr>
    </w:p>
    <w:p w14:paraId="2C3D1BFF" w14:textId="77777777" w:rsidR="00495F85" w:rsidRDefault="00495F85" w:rsidP="00BE3886"/>
    <w:p w14:paraId="060C6CF1" w14:textId="540C23C7" w:rsidR="005315D6" w:rsidRDefault="005315D6" w:rsidP="00BE3886">
      <w:r>
        <w:t>Allied health professionals eligible to participate in the PNIP include:</w:t>
      </w:r>
    </w:p>
    <w:p w14:paraId="7C18F985" w14:textId="7023886A" w:rsidR="005315D6" w:rsidRPr="00BE3886" w:rsidRDefault="00D34680" w:rsidP="003C63FD">
      <w:pPr>
        <w:pStyle w:val="PNIPbullets"/>
        <w:rPr>
          <w:lang w:val="en-US"/>
        </w:rPr>
      </w:pPr>
      <w:r w:rsidRPr="00BE3886">
        <w:rPr>
          <w:lang w:val="en-US"/>
        </w:rPr>
        <w:t>a</w:t>
      </w:r>
      <w:r w:rsidR="005315D6" w:rsidRPr="00BE3886">
        <w:rPr>
          <w:lang w:val="en-US"/>
        </w:rPr>
        <w:t>udiologists</w:t>
      </w:r>
    </w:p>
    <w:p w14:paraId="652951D5" w14:textId="7C6C0647" w:rsidR="005315D6" w:rsidRPr="00BE3886" w:rsidRDefault="00D34680" w:rsidP="003C63FD">
      <w:pPr>
        <w:pStyle w:val="PNIPbullets"/>
        <w:rPr>
          <w:lang w:val="en-US"/>
        </w:rPr>
      </w:pPr>
      <w:r w:rsidRPr="00BE3886">
        <w:rPr>
          <w:lang w:val="en-US"/>
        </w:rPr>
        <w:t>c</w:t>
      </w:r>
      <w:r w:rsidR="005315D6" w:rsidRPr="00BE3886">
        <w:rPr>
          <w:lang w:val="en-US"/>
        </w:rPr>
        <w:t>hiropractors</w:t>
      </w:r>
    </w:p>
    <w:p w14:paraId="7D355595" w14:textId="32185BA1" w:rsidR="005315D6" w:rsidRPr="00BE3886" w:rsidRDefault="00D34680" w:rsidP="003C63FD">
      <w:pPr>
        <w:pStyle w:val="PNIPbullets"/>
        <w:rPr>
          <w:lang w:val="en-US"/>
        </w:rPr>
      </w:pPr>
      <w:r w:rsidRPr="00BE3886">
        <w:rPr>
          <w:lang w:val="en-US"/>
        </w:rPr>
        <w:t>diabetes e</w:t>
      </w:r>
      <w:r w:rsidR="005315D6" w:rsidRPr="00BE3886">
        <w:rPr>
          <w:lang w:val="en-US"/>
        </w:rPr>
        <w:t>ducators</w:t>
      </w:r>
    </w:p>
    <w:p w14:paraId="022122FA" w14:textId="72EE77E1" w:rsidR="005315D6" w:rsidRPr="00BE3886" w:rsidRDefault="00D34680" w:rsidP="003C63FD">
      <w:pPr>
        <w:pStyle w:val="PNIPbullets"/>
        <w:rPr>
          <w:lang w:val="en-US"/>
        </w:rPr>
      </w:pPr>
      <w:r w:rsidRPr="00BE3886">
        <w:rPr>
          <w:lang w:val="en-US"/>
        </w:rPr>
        <w:t>dietitians/n</w:t>
      </w:r>
      <w:r w:rsidR="005315D6" w:rsidRPr="00BE3886">
        <w:rPr>
          <w:lang w:val="en-US"/>
        </w:rPr>
        <w:t>utritionists</w:t>
      </w:r>
    </w:p>
    <w:p w14:paraId="4C478F63" w14:textId="49521BF0" w:rsidR="005315D6" w:rsidRPr="00BE3886" w:rsidRDefault="00D34680" w:rsidP="003C63FD">
      <w:pPr>
        <w:pStyle w:val="PNIPbullets"/>
        <w:rPr>
          <w:lang w:val="en-US"/>
        </w:rPr>
      </w:pPr>
      <w:r w:rsidRPr="00BE3886">
        <w:rPr>
          <w:lang w:val="en-US"/>
        </w:rPr>
        <w:t>exercise p</w:t>
      </w:r>
      <w:r w:rsidR="005315D6" w:rsidRPr="00BE3886">
        <w:rPr>
          <w:lang w:val="en-US"/>
        </w:rPr>
        <w:t>hysiologists</w:t>
      </w:r>
    </w:p>
    <w:p w14:paraId="70549624" w14:textId="1EEE5681" w:rsidR="005315D6" w:rsidRPr="00BE3886" w:rsidRDefault="00D34680" w:rsidP="003C63FD">
      <w:pPr>
        <w:pStyle w:val="PNIPbullets"/>
        <w:rPr>
          <w:lang w:val="en-US"/>
        </w:rPr>
      </w:pPr>
      <w:r w:rsidRPr="00BE3886">
        <w:rPr>
          <w:lang w:val="en-US"/>
        </w:rPr>
        <w:t>o</w:t>
      </w:r>
      <w:r w:rsidR="005315D6" w:rsidRPr="00BE3886">
        <w:rPr>
          <w:lang w:val="en-US"/>
        </w:rPr>
        <w:t xml:space="preserve">ccupational </w:t>
      </w:r>
      <w:r w:rsidRPr="00BE3886">
        <w:rPr>
          <w:lang w:val="en-US"/>
        </w:rPr>
        <w:t>t</w:t>
      </w:r>
      <w:r w:rsidR="005315D6" w:rsidRPr="00BE3886">
        <w:rPr>
          <w:lang w:val="en-US"/>
        </w:rPr>
        <w:t>herapists</w:t>
      </w:r>
    </w:p>
    <w:p w14:paraId="7810D75D" w14:textId="22552935" w:rsidR="005315D6" w:rsidRPr="00BE3886" w:rsidRDefault="00D34680" w:rsidP="003C63FD">
      <w:pPr>
        <w:pStyle w:val="PNIPbullets"/>
        <w:rPr>
          <w:lang w:val="en-US"/>
        </w:rPr>
      </w:pPr>
      <w:r w:rsidRPr="00BE3886">
        <w:rPr>
          <w:lang w:val="en-US"/>
        </w:rPr>
        <w:t>o</w:t>
      </w:r>
      <w:r w:rsidR="005315D6" w:rsidRPr="00BE3886">
        <w:rPr>
          <w:lang w:val="en-US"/>
        </w:rPr>
        <w:t>rthoptists</w:t>
      </w:r>
    </w:p>
    <w:p w14:paraId="39230764" w14:textId="3E7CC86C" w:rsidR="005315D6" w:rsidRPr="00BE3886" w:rsidRDefault="00D34680" w:rsidP="003C63FD">
      <w:pPr>
        <w:pStyle w:val="PNIPbullets"/>
        <w:rPr>
          <w:lang w:val="en-US"/>
        </w:rPr>
      </w:pPr>
      <w:r w:rsidRPr="00BE3886">
        <w:rPr>
          <w:lang w:val="en-US"/>
        </w:rPr>
        <w:t>orthotists/p</w:t>
      </w:r>
      <w:r w:rsidR="005315D6" w:rsidRPr="00BE3886">
        <w:rPr>
          <w:lang w:val="en-US"/>
        </w:rPr>
        <w:t>rosthetists</w:t>
      </w:r>
    </w:p>
    <w:p w14:paraId="0FDF63DE" w14:textId="288DBA5D" w:rsidR="005315D6" w:rsidRPr="00BE3886" w:rsidRDefault="00D34680" w:rsidP="003C63FD">
      <w:pPr>
        <w:pStyle w:val="PNIPbullets"/>
        <w:rPr>
          <w:lang w:val="en-US"/>
        </w:rPr>
      </w:pPr>
      <w:r w:rsidRPr="00BE3886">
        <w:rPr>
          <w:lang w:val="en-US"/>
        </w:rPr>
        <w:t>o</w:t>
      </w:r>
      <w:r w:rsidR="005315D6" w:rsidRPr="00BE3886">
        <w:rPr>
          <w:lang w:val="en-US"/>
        </w:rPr>
        <w:t>steopaths</w:t>
      </w:r>
    </w:p>
    <w:p w14:paraId="0806FBA4" w14:textId="2CA5426E" w:rsidR="005315D6" w:rsidRPr="00BE3886" w:rsidRDefault="00D34680" w:rsidP="003C63FD">
      <w:pPr>
        <w:pStyle w:val="PNIPbullets"/>
        <w:rPr>
          <w:lang w:val="en-US"/>
        </w:rPr>
      </w:pPr>
      <w:r w:rsidRPr="00BE3886">
        <w:rPr>
          <w:lang w:val="en-US"/>
        </w:rPr>
        <w:t>p</w:t>
      </w:r>
      <w:r w:rsidR="005315D6" w:rsidRPr="00BE3886">
        <w:rPr>
          <w:lang w:val="en-US"/>
        </w:rPr>
        <w:t>hysiotherapists</w:t>
      </w:r>
    </w:p>
    <w:p w14:paraId="0EF07AB4" w14:textId="190C89C4" w:rsidR="005315D6" w:rsidRPr="00BE3886" w:rsidRDefault="00D34680" w:rsidP="003C63FD">
      <w:pPr>
        <w:pStyle w:val="PNIPbullets"/>
        <w:rPr>
          <w:lang w:val="en-US"/>
        </w:rPr>
      </w:pPr>
      <w:r w:rsidRPr="00BE3886">
        <w:rPr>
          <w:lang w:val="en-US"/>
        </w:rPr>
        <w:t>p</w:t>
      </w:r>
      <w:r w:rsidR="005315D6" w:rsidRPr="00BE3886">
        <w:rPr>
          <w:lang w:val="en-US"/>
        </w:rPr>
        <w:t>odiatrists</w:t>
      </w:r>
    </w:p>
    <w:p w14:paraId="3AA000BD" w14:textId="5B5FDCA6" w:rsidR="005315D6" w:rsidRPr="00BE3886" w:rsidRDefault="00D34680" w:rsidP="003C63FD">
      <w:pPr>
        <w:pStyle w:val="PNIPbullets"/>
        <w:rPr>
          <w:lang w:val="en-US"/>
        </w:rPr>
      </w:pPr>
      <w:r w:rsidRPr="00BE3886">
        <w:rPr>
          <w:lang w:val="en-US"/>
        </w:rPr>
        <w:t>p</w:t>
      </w:r>
      <w:r w:rsidR="005315D6" w:rsidRPr="00BE3886">
        <w:rPr>
          <w:lang w:val="en-US"/>
        </w:rPr>
        <w:t>sychologists</w:t>
      </w:r>
    </w:p>
    <w:p w14:paraId="27493917" w14:textId="3AD03712" w:rsidR="005315D6" w:rsidRPr="00BE3886" w:rsidRDefault="00D34680" w:rsidP="003C63FD">
      <w:pPr>
        <w:pStyle w:val="PNIPbullets"/>
        <w:rPr>
          <w:lang w:val="en-US"/>
        </w:rPr>
      </w:pPr>
      <w:r w:rsidRPr="00BE3886">
        <w:rPr>
          <w:lang w:val="en-US"/>
        </w:rPr>
        <w:t>s</w:t>
      </w:r>
      <w:r w:rsidR="005315D6" w:rsidRPr="00BE3886">
        <w:rPr>
          <w:lang w:val="en-US"/>
        </w:rPr>
        <w:t>ocial workers</w:t>
      </w:r>
    </w:p>
    <w:p w14:paraId="3F1FE672" w14:textId="29D0F1C1" w:rsidR="005315D6" w:rsidRDefault="00D34680" w:rsidP="003C63FD">
      <w:pPr>
        <w:pStyle w:val="PNIPbullets"/>
        <w:rPr>
          <w:lang w:val="en-US"/>
        </w:rPr>
      </w:pPr>
      <w:r w:rsidRPr="00BE3886">
        <w:rPr>
          <w:lang w:val="en-US"/>
        </w:rPr>
        <w:t>s</w:t>
      </w:r>
      <w:r w:rsidR="005315D6" w:rsidRPr="00BE3886">
        <w:rPr>
          <w:lang w:val="en-US"/>
        </w:rPr>
        <w:t>peech pathologists</w:t>
      </w:r>
    </w:p>
    <w:p w14:paraId="1262567B" w14:textId="5607D196" w:rsidR="00E85CE2" w:rsidRDefault="00795045" w:rsidP="003C63FD">
      <w:r>
        <w:t>See</w:t>
      </w:r>
      <w:r w:rsidR="006912E5" w:rsidRPr="006912E5">
        <w:t xml:space="preserve"> the </w:t>
      </w:r>
      <w:hyperlink w:anchor="_+_Glossary_of" w:history="1">
        <w:r w:rsidR="006912E5" w:rsidRPr="00D0087D">
          <w:rPr>
            <w:rStyle w:val="Hyperlink"/>
          </w:rPr>
          <w:t>glossary</w:t>
        </w:r>
      </w:hyperlink>
      <w:r w:rsidR="006912E5" w:rsidRPr="002A6149">
        <w:t xml:space="preserve"> for</w:t>
      </w:r>
      <w:r w:rsidR="006912E5" w:rsidRPr="006912E5">
        <w:t xml:space="preserve"> the minimum qualifications required for eligible health professionals participating in PNIP.</w:t>
      </w:r>
    </w:p>
    <w:p w14:paraId="1CE8DE18" w14:textId="20689BD9" w:rsidR="00200365" w:rsidRDefault="00200365" w:rsidP="003C63FD">
      <w:r>
        <w:t>The PNIP guidelines came into effect on 2 June 2011 and are maintained, and amended periodically.</w:t>
      </w:r>
    </w:p>
    <w:p w14:paraId="301F7223" w14:textId="357AD48A" w:rsidR="00B62FF8" w:rsidRPr="003B7BF0" w:rsidRDefault="00302EA3" w:rsidP="003B7BF0">
      <w:pPr>
        <w:pStyle w:val="Heading2"/>
      </w:pPr>
      <w:bookmarkStart w:id="3" w:name="_Toc490491597"/>
      <w:r w:rsidRPr="003B7BF0">
        <w:t>Eligibility</w:t>
      </w:r>
      <w:bookmarkEnd w:id="3"/>
      <w:r w:rsidR="00806AA7" w:rsidRPr="003B7BF0">
        <w:t xml:space="preserve"> </w:t>
      </w:r>
    </w:p>
    <w:p w14:paraId="2494D1DD" w14:textId="652A90E5" w:rsidR="00B62FF8" w:rsidRDefault="00302EA3" w:rsidP="00BE3886">
      <w:r>
        <w:t>To be eligible to participate in the P</w:t>
      </w:r>
      <w:r w:rsidR="00770973">
        <w:t>ractice Nurse Incentive Program (P</w:t>
      </w:r>
      <w:r>
        <w:t>NIP</w:t>
      </w:r>
      <w:r w:rsidR="00770973">
        <w:t>)</w:t>
      </w:r>
      <w:r>
        <w:t xml:space="preserve">, a </w:t>
      </w:r>
      <w:r w:rsidR="00BD6E41">
        <w:t xml:space="preserve">general </w:t>
      </w:r>
      <w:r>
        <w:t xml:space="preserve">practice must </w:t>
      </w:r>
      <w:r w:rsidR="006912E5">
        <w:t xml:space="preserve">meet </w:t>
      </w:r>
      <w:r>
        <w:t>all of the following</w:t>
      </w:r>
      <w:r w:rsidR="006912E5">
        <w:t xml:space="preserve"> requirements</w:t>
      </w:r>
      <w:r>
        <w:t>:</w:t>
      </w:r>
    </w:p>
    <w:p w14:paraId="49CB88A8" w14:textId="2D057FE7" w:rsidR="006912E5" w:rsidRPr="006912E5" w:rsidRDefault="006912E5" w:rsidP="006912E5">
      <w:pPr>
        <w:pStyle w:val="PNIPbullets"/>
        <w:rPr>
          <w:lang w:val="en-GB"/>
        </w:rPr>
      </w:pPr>
      <w:r w:rsidRPr="006912E5">
        <w:rPr>
          <w:lang w:val="en-GB"/>
        </w:rPr>
        <w:t>be fully accredited, or registered for accreditation (and achieve accreditation within 12</w:t>
      </w:r>
      <w:r w:rsidR="007114A0">
        <w:rPr>
          <w:lang w:val="en-GB"/>
        </w:rPr>
        <w:t> </w:t>
      </w:r>
      <w:r w:rsidRPr="006912E5">
        <w:rPr>
          <w:lang w:val="en-GB"/>
        </w:rPr>
        <w:t xml:space="preserve"> months) as a ‘general practice’ against the R</w:t>
      </w:r>
      <w:r w:rsidR="00770973">
        <w:rPr>
          <w:lang w:val="en-GB"/>
        </w:rPr>
        <w:t>oyal Australian College of General Practitioners</w:t>
      </w:r>
      <w:r w:rsidRPr="006912E5">
        <w:rPr>
          <w:lang w:val="en-GB"/>
        </w:rPr>
        <w:t xml:space="preserve"> </w:t>
      </w:r>
      <w:r w:rsidRPr="006912E5">
        <w:rPr>
          <w:i/>
          <w:iCs/>
          <w:lang w:val="en-GB"/>
        </w:rPr>
        <w:t xml:space="preserve">Standards for general practices </w:t>
      </w:r>
      <w:r w:rsidRPr="006912E5">
        <w:rPr>
          <w:iCs/>
          <w:lang w:val="en-GB"/>
        </w:rPr>
        <w:t xml:space="preserve">(the </w:t>
      </w:r>
      <w:r w:rsidRPr="006912E5">
        <w:rPr>
          <w:i/>
          <w:iCs/>
          <w:lang w:val="en-GB"/>
        </w:rPr>
        <w:t>Standards</w:t>
      </w:r>
      <w:r w:rsidRPr="006912E5">
        <w:rPr>
          <w:iCs/>
          <w:lang w:val="en-GB"/>
        </w:rPr>
        <w:t>)</w:t>
      </w:r>
      <w:r w:rsidRPr="006912E5">
        <w:rPr>
          <w:lang w:val="en-GB"/>
        </w:rPr>
        <w:t xml:space="preserve"> </w:t>
      </w:r>
      <w:r w:rsidR="00DC591C">
        <w:rPr>
          <w:lang w:val="en-GB"/>
        </w:rPr>
        <w:t>including the entire quarter you are applying</w:t>
      </w:r>
      <w:r w:rsidR="002021EB">
        <w:rPr>
          <w:lang w:val="en-GB"/>
        </w:rPr>
        <w:t xml:space="preserve"> in</w:t>
      </w:r>
      <w:r w:rsidR="00B76264">
        <w:rPr>
          <w:lang w:val="en-GB"/>
        </w:rPr>
        <w:t>,</w:t>
      </w:r>
      <w:r w:rsidR="00DC591C">
        <w:rPr>
          <w:lang w:val="en-GB"/>
        </w:rPr>
        <w:t xml:space="preserve"> </w:t>
      </w:r>
      <w:r w:rsidRPr="006912E5">
        <w:rPr>
          <w:lang w:val="en-GB"/>
        </w:rPr>
        <w:t xml:space="preserve">and maintain full accreditation or be registered for accreditation against the </w:t>
      </w:r>
      <w:r w:rsidRPr="006912E5">
        <w:rPr>
          <w:i/>
          <w:lang w:val="en-GB"/>
        </w:rPr>
        <w:t>Standards</w:t>
      </w:r>
    </w:p>
    <w:p w14:paraId="204671DF" w14:textId="2994DCF7" w:rsidR="006912E5" w:rsidRPr="006912E5" w:rsidRDefault="006912E5" w:rsidP="006912E5">
      <w:pPr>
        <w:pStyle w:val="PNIPbullets"/>
        <w:rPr>
          <w:lang w:val="en-GB"/>
        </w:rPr>
      </w:pPr>
      <w:r w:rsidRPr="006912E5">
        <w:rPr>
          <w:lang w:val="en-GB"/>
        </w:rPr>
        <w:t xml:space="preserve">achieve full accreditation within 12 months of joining the program, irrespective of any extensions obtained on their registered for accreditation certificate. Full accreditation must be maintained </w:t>
      </w:r>
      <w:r w:rsidR="00DC591C">
        <w:rPr>
          <w:lang w:val="en-GB"/>
        </w:rPr>
        <w:t>thereafter</w:t>
      </w:r>
    </w:p>
    <w:p w14:paraId="498B2D83" w14:textId="1B6EEB94" w:rsidR="006912E5" w:rsidRPr="006912E5" w:rsidRDefault="00A053E4" w:rsidP="006912E5">
      <w:pPr>
        <w:pStyle w:val="PNIPbullets"/>
        <w:rPr>
          <w:lang w:val="en-GB"/>
        </w:rPr>
      </w:pPr>
      <w:r>
        <w:rPr>
          <w:lang w:val="en-GB"/>
        </w:rPr>
        <w:t>if they are a P</w:t>
      </w:r>
      <w:r w:rsidR="00770973">
        <w:rPr>
          <w:lang w:val="en-GB"/>
        </w:rPr>
        <w:t xml:space="preserve">ractice </w:t>
      </w:r>
      <w:r w:rsidR="00D51E1B">
        <w:rPr>
          <w:lang w:val="en-GB"/>
        </w:rPr>
        <w:t>I</w:t>
      </w:r>
      <w:r w:rsidR="00770973">
        <w:rPr>
          <w:lang w:val="en-GB"/>
        </w:rPr>
        <w:t>ncentive</w:t>
      </w:r>
      <w:r w:rsidR="00D51E1B">
        <w:rPr>
          <w:lang w:val="en-GB"/>
        </w:rPr>
        <w:t>s</w:t>
      </w:r>
      <w:r w:rsidR="00770973">
        <w:rPr>
          <w:lang w:val="en-GB"/>
        </w:rPr>
        <w:t xml:space="preserve"> Program (P</w:t>
      </w:r>
      <w:r>
        <w:rPr>
          <w:lang w:val="en-GB"/>
        </w:rPr>
        <w:t>IP</w:t>
      </w:r>
      <w:r w:rsidR="00770973">
        <w:rPr>
          <w:lang w:val="en-GB"/>
        </w:rPr>
        <w:t>)</w:t>
      </w:r>
      <w:r>
        <w:rPr>
          <w:lang w:val="en-GB"/>
        </w:rPr>
        <w:t xml:space="preserve"> consenting practice</w:t>
      </w:r>
      <w:r w:rsidR="00DC591C">
        <w:rPr>
          <w:lang w:val="en-GB"/>
        </w:rPr>
        <w:t xml:space="preserve"> you need to </w:t>
      </w:r>
      <w:r w:rsidR="00DC591C" w:rsidRPr="006912E5">
        <w:rPr>
          <w:lang w:val="en-GB"/>
        </w:rPr>
        <w:t>remain eligible in the PIP</w:t>
      </w:r>
      <w:r>
        <w:rPr>
          <w:lang w:val="en-GB"/>
        </w:rPr>
        <w:t xml:space="preserve"> - in order</w:t>
      </w:r>
      <w:r w:rsidR="006912E5" w:rsidRPr="006912E5">
        <w:rPr>
          <w:lang w:val="en-GB"/>
        </w:rPr>
        <w:t xml:space="preserve"> to receive PNIP payments </w:t>
      </w:r>
      <w:r>
        <w:rPr>
          <w:lang w:val="en-GB"/>
        </w:rPr>
        <w:t xml:space="preserve"> </w:t>
      </w:r>
    </w:p>
    <w:p w14:paraId="6E83D294" w14:textId="69F936F2" w:rsidR="006912E5" w:rsidRPr="006912E5" w:rsidRDefault="006912E5" w:rsidP="006912E5">
      <w:pPr>
        <w:pStyle w:val="PNIPbullets"/>
        <w:rPr>
          <w:lang w:val="en-GB"/>
        </w:rPr>
      </w:pPr>
      <w:r w:rsidRPr="006912E5">
        <w:rPr>
          <w:lang w:val="en-GB"/>
        </w:rPr>
        <w:t xml:space="preserve">employ a full or part time </w:t>
      </w:r>
      <w:r w:rsidR="00F47CF9">
        <w:rPr>
          <w:lang w:val="en-GB"/>
        </w:rPr>
        <w:t>g</w:t>
      </w:r>
      <w:r w:rsidR="00D51E1B">
        <w:rPr>
          <w:lang w:val="en-GB"/>
        </w:rPr>
        <w:t xml:space="preserve">eneral </w:t>
      </w:r>
      <w:r w:rsidR="00F47CF9">
        <w:rPr>
          <w:lang w:val="en-GB"/>
        </w:rPr>
        <w:t>p</w:t>
      </w:r>
      <w:r w:rsidR="00D51E1B">
        <w:rPr>
          <w:lang w:val="en-GB"/>
        </w:rPr>
        <w:t>ractitioner (G</w:t>
      </w:r>
      <w:r w:rsidRPr="006912E5">
        <w:rPr>
          <w:lang w:val="en-GB"/>
        </w:rPr>
        <w:t>P</w:t>
      </w:r>
      <w:r w:rsidR="00D51E1B">
        <w:rPr>
          <w:lang w:val="en-GB"/>
        </w:rPr>
        <w:t>s)</w:t>
      </w:r>
    </w:p>
    <w:p w14:paraId="5232598C" w14:textId="2DCFF10D" w:rsidR="006912E5" w:rsidRPr="006912E5" w:rsidRDefault="006912E5" w:rsidP="006912E5">
      <w:pPr>
        <w:pStyle w:val="PNIPbullets"/>
        <w:rPr>
          <w:lang w:val="en-GB"/>
        </w:rPr>
      </w:pPr>
      <w:r w:rsidRPr="006912E5">
        <w:rPr>
          <w:lang w:val="en-GB"/>
        </w:rPr>
        <w:t xml:space="preserve">employ or </w:t>
      </w:r>
      <w:r w:rsidR="00DC591C">
        <w:rPr>
          <w:lang w:val="en-GB"/>
        </w:rPr>
        <w:t xml:space="preserve">otherwise </w:t>
      </w:r>
      <w:r w:rsidRPr="006912E5">
        <w:rPr>
          <w:lang w:val="en-GB"/>
        </w:rPr>
        <w:t xml:space="preserve">retain the services of an eligible practice nurse, </w:t>
      </w:r>
      <w:r w:rsidR="0037699E">
        <w:rPr>
          <w:lang w:val="en-GB"/>
        </w:rPr>
        <w:t>Aboriginal and Torres Strait Islander Health Worker</w:t>
      </w:r>
      <w:r w:rsidRPr="006912E5">
        <w:rPr>
          <w:lang w:val="en-GB"/>
        </w:rPr>
        <w:t xml:space="preserve"> or </w:t>
      </w:r>
      <w:r w:rsidR="0037699E">
        <w:rPr>
          <w:lang w:val="en-GB"/>
        </w:rPr>
        <w:t>Aboriginal and Torres Strait Islander Health Practitioner</w:t>
      </w:r>
    </w:p>
    <w:p w14:paraId="70A24246" w14:textId="262D340A" w:rsidR="006912E5" w:rsidRPr="006912E5" w:rsidRDefault="006912E5" w:rsidP="006912E5">
      <w:pPr>
        <w:pStyle w:val="PNIPbullets"/>
        <w:rPr>
          <w:lang w:val="en-GB"/>
        </w:rPr>
      </w:pPr>
      <w:r w:rsidRPr="006912E5">
        <w:rPr>
          <w:lang w:val="en-GB"/>
        </w:rPr>
        <w:lastRenderedPageBreak/>
        <w:t xml:space="preserve">ensure documented supervisory arrangements are in place with the employers </w:t>
      </w:r>
      <w:r w:rsidR="007114A0">
        <w:rPr>
          <w:lang w:val="en-GB"/>
        </w:rPr>
        <w:t>if a registered nurse is</w:t>
      </w:r>
      <w:r w:rsidRPr="006912E5">
        <w:rPr>
          <w:lang w:val="en-GB"/>
        </w:rPr>
        <w:t xml:space="preserve"> not employed by the same practice as </w:t>
      </w:r>
      <w:r w:rsidR="00DC591C">
        <w:rPr>
          <w:lang w:val="en-GB"/>
        </w:rPr>
        <w:t>the</w:t>
      </w:r>
      <w:r w:rsidRPr="006912E5">
        <w:rPr>
          <w:lang w:val="en-GB"/>
        </w:rPr>
        <w:t xml:space="preserve"> enrolled nurse</w:t>
      </w:r>
    </w:p>
    <w:p w14:paraId="1BD55F48" w14:textId="47CFFFA5" w:rsidR="006912E5" w:rsidRPr="005273D7" w:rsidRDefault="006912E5" w:rsidP="006912E5">
      <w:pPr>
        <w:pStyle w:val="PNIPbullets"/>
      </w:pPr>
      <w:r w:rsidRPr="006912E5">
        <w:rPr>
          <w:lang w:val="en-GB"/>
        </w:rPr>
        <w:t xml:space="preserve">employ or otherwise retain the services of an eligible allied health professional in </w:t>
      </w:r>
      <w:r w:rsidR="007114A0">
        <w:rPr>
          <w:rFonts w:eastAsia="Calibri"/>
        </w:rPr>
        <w:t>urban areas of workforce s</w:t>
      </w:r>
      <w:r w:rsidR="00A053E4" w:rsidRPr="005273D7">
        <w:rPr>
          <w:rFonts w:eastAsia="Calibri"/>
        </w:rPr>
        <w:t>hortage</w:t>
      </w:r>
    </w:p>
    <w:p w14:paraId="45FFF92F" w14:textId="1D5F3FF0" w:rsidR="00B76264" w:rsidRDefault="006912E5" w:rsidP="006E75F6">
      <w:pPr>
        <w:pStyle w:val="PNIPbullets"/>
        <w:rPr>
          <w:lang w:val="en-GB"/>
        </w:rPr>
      </w:pPr>
      <w:r w:rsidRPr="003802EA">
        <w:rPr>
          <w:lang w:val="en-GB"/>
        </w:rPr>
        <w:t xml:space="preserve">maintain at least $10 million in public liability insurance cover </w:t>
      </w:r>
      <w:r w:rsidR="003802EA" w:rsidRPr="005273D7">
        <w:rPr>
          <w:lang w:val="en-GB"/>
        </w:rPr>
        <w:t>(</w:t>
      </w:r>
      <w:r w:rsidR="00B958FA">
        <w:rPr>
          <w:lang w:val="en-GB"/>
        </w:rPr>
        <w:t>n</w:t>
      </w:r>
      <w:r w:rsidR="003802EA" w:rsidRPr="005273D7">
        <w:rPr>
          <w:lang w:val="en-GB"/>
        </w:rPr>
        <w:t>ote legal lia</w:t>
      </w:r>
      <w:r w:rsidR="003802EA">
        <w:rPr>
          <w:lang w:val="en-GB"/>
        </w:rPr>
        <w:t>bility is not public liability)</w:t>
      </w:r>
      <w:r w:rsidR="00775D5D">
        <w:rPr>
          <w:lang w:val="en-GB"/>
        </w:rPr>
        <w:t xml:space="preserve"> </w:t>
      </w:r>
      <w:r w:rsidR="004B3613">
        <w:rPr>
          <w:lang w:val="en-GB"/>
        </w:rPr>
        <w:t xml:space="preserve"> </w:t>
      </w:r>
    </w:p>
    <w:p w14:paraId="20FE9E13" w14:textId="1755A511" w:rsidR="00CD094C" w:rsidRPr="003802EA" w:rsidRDefault="006912E5" w:rsidP="006E75F6">
      <w:pPr>
        <w:pStyle w:val="PNIPbullets"/>
        <w:rPr>
          <w:lang w:val="en-GB"/>
        </w:rPr>
      </w:pPr>
      <w:r w:rsidRPr="003802EA">
        <w:rPr>
          <w:lang w:val="en-GB"/>
        </w:rPr>
        <w:t xml:space="preserve">ensure all GPs, practice nurses, allied health professionals and Aboriginal and Torres Strait Islander </w:t>
      </w:r>
      <w:r w:rsidR="0037699E">
        <w:rPr>
          <w:lang w:val="en-GB"/>
        </w:rPr>
        <w:t>H</w:t>
      </w:r>
      <w:r w:rsidRPr="003802EA">
        <w:rPr>
          <w:lang w:val="en-GB"/>
        </w:rPr>
        <w:t xml:space="preserve">ealth </w:t>
      </w:r>
      <w:r w:rsidR="0037699E">
        <w:rPr>
          <w:lang w:val="en-GB"/>
        </w:rPr>
        <w:t>P</w:t>
      </w:r>
      <w:r w:rsidRPr="003802EA">
        <w:rPr>
          <w:lang w:val="en-GB"/>
        </w:rPr>
        <w:t>ractitioners have the required professional indemnity insurance</w:t>
      </w:r>
      <w:r w:rsidR="00A053E4" w:rsidRPr="003802EA">
        <w:rPr>
          <w:lang w:val="en-GB"/>
        </w:rPr>
        <w:t xml:space="preserve"> regardless of whether they are registered under the National Registration and Accreditation Scheme</w:t>
      </w:r>
      <w:r w:rsidR="007114A0" w:rsidRPr="003802EA">
        <w:rPr>
          <w:lang w:val="en-GB"/>
        </w:rPr>
        <w:t xml:space="preserve"> (NRA</w:t>
      </w:r>
      <w:r w:rsidR="00561BB8" w:rsidRPr="003802EA">
        <w:rPr>
          <w:lang w:val="en-GB"/>
        </w:rPr>
        <w:t>S</w:t>
      </w:r>
      <w:r w:rsidR="007114A0" w:rsidRPr="003802EA">
        <w:rPr>
          <w:lang w:val="en-GB"/>
        </w:rPr>
        <w:t>)</w:t>
      </w:r>
      <w:r w:rsidR="006E75F6" w:rsidRPr="003802EA">
        <w:rPr>
          <w:lang w:val="en-GB"/>
        </w:rPr>
        <w:t xml:space="preserve">. </w:t>
      </w:r>
      <w:r w:rsidR="006E75F6">
        <w:t>If registered under the NRA</w:t>
      </w:r>
      <w:r w:rsidR="00561BB8">
        <w:t>S</w:t>
      </w:r>
      <w:r w:rsidR="005B6A42">
        <w:t>,</w:t>
      </w:r>
      <w:r w:rsidR="006E75F6">
        <w:t xml:space="preserve"> they </w:t>
      </w:r>
      <w:r w:rsidR="006E75F6" w:rsidRPr="003802EA">
        <w:rPr>
          <w:lang w:val="en-GB"/>
        </w:rPr>
        <w:t xml:space="preserve">must </w:t>
      </w:r>
      <w:r w:rsidR="00A053E4" w:rsidRPr="003802EA">
        <w:rPr>
          <w:lang w:val="en-GB"/>
        </w:rPr>
        <w:t xml:space="preserve">have the level of insurance </w:t>
      </w:r>
      <w:r w:rsidRPr="003802EA">
        <w:rPr>
          <w:lang w:val="en-GB"/>
        </w:rPr>
        <w:t>specified by the relevant board arrangements</w:t>
      </w:r>
    </w:p>
    <w:p w14:paraId="266F7C30" w14:textId="578BFC26" w:rsidR="00CD094C" w:rsidRDefault="00CD094C" w:rsidP="00CD094C">
      <w:pPr>
        <w:pStyle w:val="PNIPbullets"/>
        <w:rPr>
          <w:lang w:val="en-GB"/>
        </w:rPr>
      </w:pPr>
      <w:r w:rsidRPr="006912E5">
        <w:rPr>
          <w:lang w:val="en-GB"/>
        </w:rPr>
        <w:t xml:space="preserve">practice nurses, allied health professionals and </w:t>
      </w:r>
      <w:r w:rsidR="0037699E">
        <w:rPr>
          <w:lang w:val="en-GB"/>
        </w:rPr>
        <w:t>Aboriginal and Torres Strait Islander Health Practitioners</w:t>
      </w:r>
      <w:r>
        <w:rPr>
          <w:lang w:val="en-GB"/>
        </w:rPr>
        <w:t xml:space="preserve">, and </w:t>
      </w:r>
      <w:r w:rsidR="0037699E">
        <w:rPr>
          <w:lang w:val="en-GB"/>
        </w:rPr>
        <w:t>Aboriginal and Torres Strait Islander Health Workers</w:t>
      </w:r>
      <w:r>
        <w:rPr>
          <w:lang w:val="en-GB"/>
        </w:rPr>
        <w:t xml:space="preserve"> who are not employees of the eligible organisations must also have the required minimum level of professional indemnity insurance coverage</w:t>
      </w:r>
      <w:r w:rsidR="00BF58B3" w:rsidRPr="00BF58B3">
        <w:rPr>
          <w:lang w:val="en-GB"/>
        </w:rPr>
        <w:t xml:space="preserve"> </w:t>
      </w:r>
      <w:r w:rsidR="00BF58B3">
        <w:rPr>
          <w:lang w:val="en-GB"/>
        </w:rPr>
        <w:t>in their name.</w:t>
      </w:r>
      <w:r>
        <w:rPr>
          <w:lang w:val="en-GB"/>
        </w:rPr>
        <w:t xml:space="preserve">  </w:t>
      </w:r>
    </w:p>
    <w:p w14:paraId="4E645D70" w14:textId="03B75DCD" w:rsidR="006912E5" w:rsidRDefault="006912E5" w:rsidP="00122052">
      <w:pPr>
        <w:pStyle w:val="PNIPbullets"/>
        <w:numPr>
          <w:ilvl w:val="0"/>
          <w:numId w:val="0"/>
        </w:numPr>
        <w:ind w:left="1619"/>
        <w:rPr>
          <w:lang w:val="en-GB"/>
        </w:rPr>
      </w:pPr>
    </w:p>
    <w:p w14:paraId="1C883299" w14:textId="7FF28B1C" w:rsidR="00427D66" w:rsidRPr="00427D66" w:rsidRDefault="00427D66" w:rsidP="0036652A">
      <w:pPr>
        <w:pStyle w:val="Heading3"/>
      </w:pPr>
      <w:bookmarkStart w:id="4" w:name="_Toc490491598"/>
      <w:r w:rsidRPr="0036652A">
        <w:t>Ineligibility</w:t>
      </w:r>
      <w:bookmarkEnd w:id="4"/>
      <w:r w:rsidR="007914C2">
        <w:t xml:space="preserve"> </w:t>
      </w:r>
    </w:p>
    <w:p w14:paraId="2A856C35" w14:textId="2A73CD8C" w:rsidR="00253D2C" w:rsidRPr="00253D2C" w:rsidRDefault="00253D2C" w:rsidP="00253D2C">
      <w:r>
        <w:t>Some services are not eligible to receive payments under the PNIP.</w:t>
      </w:r>
    </w:p>
    <w:p w14:paraId="0A5BE483" w14:textId="025A3ECD" w:rsidR="00790ED4" w:rsidRPr="004C32F0" w:rsidRDefault="00790ED4" w:rsidP="00790ED4">
      <w:pPr>
        <w:pStyle w:val="Heading4"/>
        <w:rPr>
          <w:i w:val="0"/>
        </w:rPr>
      </w:pPr>
      <w:r w:rsidRPr="004C32F0">
        <w:rPr>
          <w:i w:val="0"/>
        </w:rPr>
        <w:t>Ineligible services</w:t>
      </w:r>
    </w:p>
    <w:p w14:paraId="18CD2925" w14:textId="7FC64B49" w:rsidR="00427D66" w:rsidRPr="00253D2C" w:rsidRDefault="00253D2C" w:rsidP="00253D2C">
      <w:pPr>
        <w:rPr>
          <w:lang w:val="en-GB"/>
        </w:rPr>
      </w:pPr>
      <w:r w:rsidRPr="005273D7">
        <w:rPr>
          <w:u w:val="single"/>
          <w:lang w:val="en-GB"/>
        </w:rPr>
        <w:t>Medical Deputising Services</w:t>
      </w:r>
      <w:r w:rsidRPr="005273D7">
        <w:rPr>
          <w:lang w:val="en-GB"/>
        </w:rPr>
        <w:t xml:space="preserve"> </w:t>
      </w:r>
      <w:r>
        <w:rPr>
          <w:lang w:val="en-GB"/>
        </w:rPr>
        <w:t>that</w:t>
      </w:r>
      <w:r w:rsidRPr="005273D7">
        <w:rPr>
          <w:lang w:val="en-GB"/>
        </w:rPr>
        <w:t xml:space="preserve"> directly arrange for medical practitioners to provide after hours medical services to patients of </w:t>
      </w:r>
      <w:r>
        <w:rPr>
          <w:lang w:val="en-GB"/>
        </w:rPr>
        <w:t>p</w:t>
      </w:r>
      <w:r w:rsidRPr="005273D7">
        <w:rPr>
          <w:lang w:val="en-GB"/>
        </w:rPr>
        <w:t xml:space="preserve">ractice </w:t>
      </w:r>
      <w:r>
        <w:rPr>
          <w:lang w:val="en-GB"/>
        </w:rPr>
        <w:t>p</w:t>
      </w:r>
      <w:r w:rsidRPr="005273D7">
        <w:rPr>
          <w:lang w:val="en-GB"/>
        </w:rPr>
        <w:t xml:space="preserve">rincipals during the absence of, and at the request of, the </w:t>
      </w:r>
      <w:r>
        <w:rPr>
          <w:lang w:val="en-GB"/>
        </w:rPr>
        <w:t>p</w:t>
      </w:r>
      <w:r w:rsidRPr="005273D7">
        <w:rPr>
          <w:lang w:val="en-GB"/>
        </w:rPr>
        <w:t xml:space="preserve">ractice </w:t>
      </w:r>
      <w:r>
        <w:rPr>
          <w:lang w:val="en-GB"/>
        </w:rPr>
        <w:t>p</w:t>
      </w:r>
      <w:r w:rsidRPr="005273D7">
        <w:rPr>
          <w:lang w:val="en-GB"/>
        </w:rPr>
        <w:t xml:space="preserve">rincipals are </w:t>
      </w:r>
      <w:r w:rsidRPr="005273D7">
        <w:rPr>
          <w:b/>
          <w:lang w:val="en-GB"/>
        </w:rPr>
        <w:t>not</w:t>
      </w:r>
      <w:r w:rsidRPr="005273D7">
        <w:rPr>
          <w:lang w:val="en-GB"/>
        </w:rPr>
        <w:t xml:space="preserve"> eligible for PNIP.  </w:t>
      </w:r>
    </w:p>
    <w:p w14:paraId="415F0842" w14:textId="5582F95C" w:rsidR="003375C4" w:rsidRPr="00B648FD" w:rsidRDefault="00427D66" w:rsidP="003375C4">
      <w:pPr>
        <w:rPr>
          <w:rFonts w:ascii="Calibri Light" w:hAnsi="Calibri Light" w:cs="Arial"/>
          <w:color w:val="000000"/>
          <w:lang w:val="en-GB"/>
        </w:rPr>
      </w:pPr>
      <w:r w:rsidRPr="009300B8">
        <w:rPr>
          <w:u w:val="single"/>
          <w:lang w:val="en-GB"/>
        </w:rPr>
        <w:t>After-hours Medical Services</w:t>
      </w:r>
      <w:r w:rsidRPr="00427D66">
        <w:rPr>
          <w:lang w:val="en-GB"/>
        </w:rPr>
        <w:t xml:space="preserve"> that provide care outside the normal opening hours of a general practice</w:t>
      </w:r>
      <w:r w:rsidR="003375C4">
        <w:rPr>
          <w:lang w:val="en-GB"/>
        </w:rPr>
        <w:t>,</w:t>
      </w:r>
      <w:r w:rsidR="00253D2C">
        <w:rPr>
          <w:lang w:val="en-GB"/>
        </w:rPr>
        <w:t xml:space="preserve"> </w:t>
      </w:r>
      <w:r w:rsidR="003375C4" w:rsidRPr="00F53459">
        <w:rPr>
          <w:lang w:val="en-GB"/>
        </w:rPr>
        <w:t xml:space="preserve">whether or not the service deputises for other general practices, and whether or not the care is provided within or outside the </w:t>
      </w:r>
      <w:r w:rsidR="00CB1172" w:rsidRPr="00F53459">
        <w:rPr>
          <w:lang w:val="en-GB"/>
        </w:rPr>
        <w:t>practice</w:t>
      </w:r>
      <w:r w:rsidR="00F53459" w:rsidRPr="00F53459">
        <w:rPr>
          <w:lang w:val="en-GB"/>
        </w:rPr>
        <w:t xml:space="preserve"> </w:t>
      </w:r>
      <w:r w:rsidR="003375C4" w:rsidRPr="00F53459">
        <w:rPr>
          <w:lang w:val="en-GB"/>
        </w:rPr>
        <w:t xml:space="preserve">are </w:t>
      </w:r>
      <w:r w:rsidR="003375C4" w:rsidRPr="00F53459">
        <w:rPr>
          <w:b/>
          <w:lang w:val="en-GB"/>
        </w:rPr>
        <w:t>not</w:t>
      </w:r>
      <w:r w:rsidR="003375C4" w:rsidRPr="00F53459">
        <w:rPr>
          <w:lang w:val="en-GB"/>
        </w:rPr>
        <w:t xml:space="preserve"> eligible for PNIP</w:t>
      </w:r>
    </w:p>
    <w:p w14:paraId="15441F17" w14:textId="352020AC" w:rsidR="009300B8" w:rsidRPr="004C32F0" w:rsidRDefault="00790ED4" w:rsidP="009300B8">
      <w:pPr>
        <w:pStyle w:val="Heading4"/>
        <w:rPr>
          <w:i w:val="0"/>
        </w:rPr>
      </w:pPr>
      <w:r w:rsidRPr="004C32F0">
        <w:rPr>
          <w:i w:val="0"/>
        </w:rPr>
        <w:t xml:space="preserve">Ineligible </w:t>
      </w:r>
      <w:r w:rsidR="00AC5AF0" w:rsidRPr="004C32F0">
        <w:rPr>
          <w:i w:val="0"/>
        </w:rPr>
        <w:t>activities</w:t>
      </w:r>
    </w:p>
    <w:p w14:paraId="364E630E" w14:textId="7E7D9EE3" w:rsidR="007114A0" w:rsidRDefault="00253D2C" w:rsidP="00253D2C">
      <w:pPr>
        <w:ind w:firstLine="0"/>
        <w:rPr>
          <w:lang w:val="en-GB"/>
        </w:rPr>
      </w:pPr>
      <w:r w:rsidRPr="005273D7">
        <w:rPr>
          <w:lang w:val="en-GB"/>
        </w:rPr>
        <w:t xml:space="preserve">Practices are </w:t>
      </w:r>
      <w:r w:rsidRPr="005273D7">
        <w:rPr>
          <w:b/>
          <w:lang w:val="en-GB"/>
        </w:rPr>
        <w:t xml:space="preserve">not </w:t>
      </w:r>
      <w:r w:rsidRPr="005273D7">
        <w:rPr>
          <w:lang w:val="en-GB"/>
        </w:rPr>
        <w:t xml:space="preserve">eligible to </w:t>
      </w:r>
      <w:r w:rsidR="00F47CF9">
        <w:rPr>
          <w:lang w:val="en-GB"/>
        </w:rPr>
        <w:t>claim</w:t>
      </w:r>
      <w:r w:rsidR="00F47CF9" w:rsidRPr="005273D7">
        <w:rPr>
          <w:lang w:val="en-GB"/>
        </w:rPr>
        <w:t xml:space="preserve"> </w:t>
      </w:r>
      <w:r w:rsidRPr="005273D7">
        <w:rPr>
          <w:lang w:val="en-GB"/>
        </w:rPr>
        <w:t xml:space="preserve">payment for any hours </w:t>
      </w:r>
      <w:r w:rsidR="00C32438">
        <w:rPr>
          <w:lang w:val="en-GB"/>
        </w:rPr>
        <w:t>where</w:t>
      </w:r>
      <w:r w:rsidR="00E42C13">
        <w:rPr>
          <w:lang w:val="en-GB"/>
        </w:rPr>
        <w:t xml:space="preserve"> </w:t>
      </w:r>
      <w:r w:rsidR="007114A0">
        <w:rPr>
          <w:lang w:val="en-GB"/>
        </w:rPr>
        <w:t xml:space="preserve">they </w:t>
      </w:r>
      <w:r w:rsidR="00C32438">
        <w:rPr>
          <w:lang w:val="en-GB"/>
        </w:rPr>
        <w:t xml:space="preserve">already </w:t>
      </w:r>
      <w:r w:rsidR="007114A0">
        <w:rPr>
          <w:lang w:val="en-GB"/>
        </w:rPr>
        <w:t>receive support</w:t>
      </w:r>
      <w:r w:rsidRPr="005273D7">
        <w:rPr>
          <w:lang w:val="en-GB"/>
        </w:rPr>
        <w:t xml:space="preserve"> to employ or otherwise r</w:t>
      </w:r>
      <w:r w:rsidRPr="00253D2C">
        <w:rPr>
          <w:lang w:val="en-GB"/>
        </w:rPr>
        <w:t>etain the services of eligible p</w:t>
      </w:r>
      <w:r w:rsidRPr="005273D7">
        <w:rPr>
          <w:lang w:val="en-GB"/>
        </w:rPr>
        <w:t xml:space="preserve">ractice </w:t>
      </w:r>
      <w:r w:rsidRPr="00253D2C">
        <w:rPr>
          <w:lang w:val="en-GB"/>
        </w:rPr>
        <w:t>n</w:t>
      </w:r>
      <w:r w:rsidRPr="005273D7">
        <w:rPr>
          <w:lang w:val="en-GB"/>
        </w:rPr>
        <w:t xml:space="preserve">urses, </w:t>
      </w:r>
      <w:r w:rsidRPr="00253D2C">
        <w:rPr>
          <w:lang w:val="en-GB"/>
        </w:rPr>
        <w:t>allied health p</w:t>
      </w:r>
      <w:r w:rsidRPr="005273D7">
        <w:rPr>
          <w:lang w:val="en-GB"/>
        </w:rPr>
        <w:t xml:space="preserve">rofessionals, </w:t>
      </w:r>
      <w:r w:rsidR="0037699E">
        <w:rPr>
          <w:lang w:val="en-GB"/>
        </w:rPr>
        <w:t>Aboriginal and Torres Strait Islander Health Workers</w:t>
      </w:r>
      <w:r w:rsidRPr="005273D7">
        <w:rPr>
          <w:lang w:val="en-GB"/>
        </w:rPr>
        <w:t xml:space="preserve"> and </w:t>
      </w:r>
      <w:r w:rsidR="0037699E">
        <w:rPr>
          <w:lang w:val="en-GB"/>
        </w:rPr>
        <w:t>Aboriginal and Torres Strait Islander Health Practitioners</w:t>
      </w:r>
      <w:r>
        <w:rPr>
          <w:lang w:val="en-GB"/>
        </w:rPr>
        <w:t xml:space="preserve">. </w:t>
      </w:r>
    </w:p>
    <w:p w14:paraId="296084CA" w14:textId="783AE9B2" w:rsidR="00253D2C" w:rsidRPr="005273D7" w:rsidRDefault="00253D2C" w:rsidP="00253D2C">
      <w:pPr>
        <w:ind w:firstLine="0"/>
        <w:rPr>
          <w:lang w:val="en-GB"/>
        </w:rPr>
      </w:pPr>
      <w:r>
        <w:rPr>
          <w:lang w:val="en-GB"/>
        </w:rPr>
        <w:t>Support could include:</w:t>
      </w:r>
    </w:p>
    <w:p w14:paraId="76D31458" w14:textId="7E6C9A28" w:rsidR="00253D2C" w:rsidRPr="005273D7" w:rsidRDefault="00253D2C" w:rsidP="00253D2C">
      <w:pPr>
        <w:pStyle w:val="PNIPbullets"/>
        <w:rPr>
          <w:lang w:val="en-GB"/>
        </w:rPr>
      </w:pPr>
      <w:r w:rsidRPr="005273D7">
        <w:rPr>
          <w:lang w:val="en-GB"/>
        </w:rPr>
        <w:t xml:space="preserve">Australian, </w:t>
      </w:r>
      <w:r>
        <w:rPr>
          <w:lang w:val="en-GB"/>
        </w:rPr>
        <w:t>s</w:t>
      </w:r>
      <w:r w:rsidRPr="005273D7">
        <w:rPr>
          <w:lang w:val="en-GB"/>
        </w:rPr>
        <w:t xml:space="preserve">tate or </w:t>
      </w:r>
      <w:r>
        <w:rPr>
          <w:lang w:val="en-GB"/>
        </w:rPr>
        <w:t>t</w:t>
      </w:r>
      <w:r w:rsidRPr="005273D7">
        <w:rPr>
          <w:lang w:val="en-GB"/>
        </w:rPr>
        <w:t xml:space="preserve">erritory </w:t>
      </w:r>
      <w:r>
        <w:rPr>
          <w:lang w:val="en-GB"/>
        </w:rPr>
        <w:t>g</w:t>
      </w:r>
      <w:r w:rsidRPr="005273D7">
        <w:rPr>
          <w:lang w:val="en-GB"/>
        </w:rPr>
        <w:t xml:space="preserve">overnment funding </w:t>
      </w:r>
    </w:p>
    <w:p w14:paraId="1AC06CF1" w14:textId="77777777" w:rsidR="00253D2C" w:rsidRPr="005273D7" w:rsidRDefault="00253D2C" w:rsidP="00253D2C">
      <w:pPr>
        <w:pStyle w:val="PNIPbullets"/>
        <w:rPr>
          <w:lang w:val="en-GB"/>
        </w:rPr>
      </w:pPr>
      <w:r w:rsidRPr="005273D7">
        <w:rPr>
          <w:lang w:val="en-GB"/>
        </w:rPr>
        <w:t>other private funding, or</w:t>
      </w:r>
    </w:p>
    <w:p w14:paraId="59201A95" w14:textId="24DDE292" w:rsidR="00253D2C" w:rsidRPr="00253D2C" w:rsidRDefault="00253D2C" w:rsidP="00253D2C">
      <w:pPr>
        <w:pStyle w:val="PNIPbullets"/>
        <w:rPr>
          <w:lang w:val="en-GB"/>
        </w:rPr>
      </w:pPr>
      <w:r>
        <w:rPr>
          <w:lang w:val="en-GB"/>
        </w:rPr>
        <w:t xml:space="preserve">funding from </w:t>
      </w:r>
      <w:r w:rsidRPr="005273D7">
        <w:rPr>
          <w:lang w:val="en-GB"/>
        </w:rPr>
        <w:t xml:space="preserve">other incentive programs </w:t>
      </w:r>
    </w:p>
    <w:p w14:paraId="6B7044A0" w14:textId="6ECB54F2" w:rsidR="00112A1C" w:rsidRPr="00495F85" w:rsidRDefault="00252527" w:rsidP="00920B20">
      <w:pPr>
        <w:pStyle w:val="Heading4"/>
      </w:pPr>
      <w:r w:rsidRPr="00D52256">
        <w:t xml:space="preserve">Practices that employ </w:t>
      </w:r>
      <w:r w:rsidR="00F47CF9" w:rsidRPr="00473949">
        <w:t>h</w:t>
      </w:r>
      <w:r w:rsidRPr="00495F85">
        <w:t>ealth professionals that claim</w:t>
      </w:r>
      <w:r w:rsidR="00AD42C3" w:rsidRPr="00495F85">
        <w:t xml:space="preserve"> services using their own provider number</w:t>
      </w:r>
    </w:p>
    <w:p w14:paraId="36D0C598" w14:textId="61ECADC5" w:rsidR="009300B8" w:rsidRPr="009300B8" w:rsidRDefault="009300B8" w:rsidP="009300B8">
      <w:pPr>
        <w:ind w:firstLine="0"/>
        <w:rPr>
          <w:lang w:val="en-US"/>
        </w:rPr>
      </w:pPr>
      <w:r w:rsidRPr="009300B8">
        <w:rPr>
          <w:lang w:val="en-US"/>
        </w:rPr>
        <w:t xml:space="preserve">Practices that employ or </w:t>
      </w:r>
      <w:r w:rsidR="00252527">
        <w:rPr>
          <w:lang w:val="en-US"/>
        </w:rPr>
        <w:t xml:space="preserve">otherwise </w:t>
      </w:r>
      <w:r w:rsidRPr="009300B8">
        <w:rPr>
          <w:lang w:val="en-US"/>
        </w:rPr>
        <w:t xml:space="preserve">retain the services of an </w:t>
      </w:r>
      <w:r w:rsidR="00A92683">
        <w:rPr>
          <w:lang w:val="en-US"/>
        </w:rPr>
        <w:t>a</w:t>
      </w:r>
      <w:r w:rsidRPr="009300B8">
        <w:rPr>
          <w:lang w:val="en-US"/>
        </w:rPr>
        <w:t xml:space="preserve">llied </w:t>
      </w:r>
      <w:r w:rsidR="00A92683">
        <w:rPr>
          <w:lang w:val="en-US"/>
        </w:rPr>
        <w:t>h</w:t>
      </w:r>
      <w:r w:rsidRPr="009300B8">
        <w:rPr>
          <w:lang w:val="en-US"/>
        </w:rPr>
        <w:t xml:space="preserve">ealth </w:t>
      </w:r>
      <w:r w:rsidR="00A92683">
        <w:rPr>
          <w:lang w:val="en-US"/>
        </w:rPr>
        <w:t>p</w:t>
      </w:r>
      <w:r w:rsidRPr="009300B8">
        <w:rPr>
          <w:lang w:val="en-US"/>
        </w:rPr>
        <w:t xml:space="preserve">rofessional, </w:t>
      </w:r>
      <w:r w:rsidR="0037699E" w:rsidRPr="004A609F">
        <w:rPr>
          <w:lang w:val="en-US"/>
        </w:rPr>
        <w:t>Aboriginal and Torres Strait Islander Health Worker</w:t>
      </w:r>
      <w:r w:rsidRPr="00873167">
        <w:rPr>
          <w:lang w:val="en-US"/>
        </w:rPr>
        <w:t xml:space="preserve"> and </w:t>
      </w:r>
      <w:r w:rsidR="0037699E" w:rsidRPr="004A609F">
        <w:rPr>
          <w:lang w:val="en-US"/>
        </w:rPr>
        <w:t>Aboriginal and Torres Strait Islander Health Practitioner</w:t>
      </w:r>
      <w:r w:rsidRPr="009300B8">
        <w:rPr>
          <w:lang w:val="en-US"/>
        </w:rPr>
        <w:t xml:space="preserve"> with their own provider number are </w:t>
      </w:r>
      <w:r w:rsidRPr="00DF754D">
        <w:rPr>
          <w:b/>
          <w:lang w:val="en-US"/>
        </w:rPr>
        <w:t>not</w:t>
      </w:r>
      <w:r w:rsidRPr="009300B8">
        <w:rPr>
          <w:lang w:val="en-US"/>
        </w:rPr>
        <w:t xml:space="preserve"> eligible for PNIP incentives for any time those health professionals spend on the relevant M</w:t>
      </w:r>
      <w:r w:rsidR="00797A41">
        <w:rPr>
          <w:lang w:val="en-US"/>
        </w:rPr>
        <w:t>edicare Benefits Schedule</w:t>
      </w:r>
      <w:r w:rsidRPr="009300B8">
        <w:rPr>
          <w:lang w:val="en-US"/>
        </w:rPr>
        <w:t xml:space="preserve"> services.</w:t>
      </w:r>
    </w:p>
    <w:p w14:paraId="6E868422" w14:textId="1EC5D032" w:rsidR="009300B8" w:rsidRPr="005273D7" w:rsidRDefault="009300B8" w:rsidP="009300B8">
      <w:pPr>
        <w:rPr>
          <w:lang w:val="en-US"/>
        </w:rPr>
      </w:pPr>
      <w:r w:rsidRPr="005273D7">
        <w:rPr>
          <w:lang w:val="en-US"/>
        </w:rPr>
        <w:t xml:space="preserve">This does not apply to </w:t>
      </w:r>
      <w:r>
        <w:rPr>
          <w:lang w:val="en-US"/>
        </w:rPr>
        <w:t>Aboriginal Medical Services, Aboriginal Community Controlled Health Services,</w:t>
      </w:r>
      <w:r w:rsidRPr="005273D7">
        <w:rPr>
          <w:lang w:val="en-US"/>
        </w:rPr>
        <w:t xml:space="preserve"> </w:t>
      </w:r>
      <w:r>
        <w:rPr>
          <w:lang w:val="en-US"/>
        </w:rPr>
        <w:t>and s</w:t>
      </w:r>
      <w:r w:rsidRPr="005273D7">
        <w:rPr>
          <w:lang w:val="en-US"/>
        </w:rPr>
        <w:t xml:space="preserve">tate or </w:t>
      </w:r>
      <w:r>
        <w:rPr>
          <w:lang w:val="en-US"/>
        </w:rPr>
        <w:t>territory g</w:t>
      </w:r>
      <w:r w:rsidRPr="005273D7">
        <w:rPr>
          <w:lang w:val="en-US"/>
        </w:rPr>
        <w:t>overnment health clinics that:</w:t>
      </w:r>
    </w:p>
    <w:p w14:paraId="3988025D" w14:textId="4FD35B3F" w:rsidR="009300B8" w:rsidRPr="005273D7" w:rsidRDefault="009300B8" w:rsidP="005273D7">
      <w:pPr>
        <w:pStyle w:val="PNIPbullets"/>
        <w:rPr>
          <w:lang w:val="en-US"/>
        </w:rPr>
      </w:pPr>
      <w:r w:rsidRPr="009300B8">
        <w:rPr>
          <w:lang w:val="en-US"/>
        </w:rPr>
        <w:lastRenderedPageBreak/>
        <w:t xml:space="preserve">have an exemption under Section 19(2) of the </w:t>
      </w:r>
      <w:r w:rsidRPr="009300B8">
        <w:rPr>
          <w:i/>
          <w:iCs/>
          <w:lang w:val="en-US"/>
        </w:rPr>
        <w:t>Health Insurance Act 1973</w:t>
      </w:r>
      <w:r w:rsidRPr="005273D7">
        <w:rPr>
          <w:i/>
          <w:iCs/>
          <w:lang w:val="en-US"/>
        </w:rPr>
        <w:t>,</w:t>
      </w:r>
      <w:r w:rsidRPr="009300B8">
        <w:rPr>
          <w:lang w:val="en-US"/>
        </w:rPr>
        <w:t xml:space="preserve"> or</w:t>
      </w:r>
    </w:p>
    <w:p w14:paraId="330EF11D" w14:textId="0C9E88D6" w:rsidR="009300B8" w:rsidRPr="009300B8" w:rsidRDefault="009300B8" w:rsidP="009300B8">
      <w:pPr>
        <w:pStyle w:val="PNIPbullets"/>
        <w:rPr>
          <w:lang w:val="en-US"/>
        </w:rPr>
      </w:pPr>
      <w:r w:rsidRPr="009300B8">
        <w:rPr>
          <w:lang w:val="en-US"/>
        </w:rPr>
        <w:t xml:space="preserve">receive funding for </w:t>
      </w:r>
      <w:r w:rsidRPr="004A609F">
        <w:t xml:space="preserve">Aboriginal and Torres Strait Islander </w:t>
      </w:r>
      <w:r w:rsidR="002E4553" w:rsidRPr="004A609F">
        <w:t>H</w:t>
      </w:r>
      <w:r w:rsidRPr="004A609F">
        <w:t xml:space="preserve">ealth </w:t>
      </w:r>
      <w:r w:rsidR="002E4553" w:rsidRPr="004A609F">
        <w:t>W</w:t>
      </w:r>
      <w:r w:rsidRPr="004A609F">
        <w:t>orkers</w:t>
      </w:r>
      <w:r w:rsidRPr="00873167">
        <w:t>,</w:t>
      </w:r>
      <w:r w:rsidRPr="00873167">
        <w:rPr>
          <w:lang w:val="en-US"/>
        </w:rPr>
        <w:t xml:space="preserve"> </w:t>
      </w:r>
      <w:r w:rsidRPr="004A609F">
        <w:t xml:space="preserve">Aboriginal and Torres Strait Islander </w:t>
      </w:r>
      <w:r w:rsidR="002E4553" w:rsidRPr="004A609F">
        <w:t>H</w:t>
      </w:r>
      <w:r w:rsidRPr="004A609F">
        <w:t xml:space="preserve">ealth </w:t>
      </w:r>
      <w:r w:rsidR="002E4553" w:rsidRPr="004A609F">
        <w:t>P</w:t>
      </w:r>
      <w:r w:rsidRPr="004A609F">
        <w:t>ractitioners</w:t>
      </w:r>
      <w:r w:rsidRPr="00873167">
        <w:t>,</w:t>
      </w:r>
      <w:r w:rsidRPr="00A91698">
        <w:t xml:space="preserve"> or </w:t>
      </w:r>
      <w:r w:rsidRPr="005273D7">
        <w:rPr>
          <w:lang w:val="en-US"/>
        </w:rPr>
        <w:t>a</w:t>
      </w:r>
      <w:r w:rsidRPr="009300B8">
        <w:rPr>
          <w:lang w:val="en-US"/>
        </w:rPr>
        <w:t xml:space="preserve">llied </w:t>
      </w:r>
      <w:r w:rsidRPr="005273D7">
        <w:rPr>
          <w:lang w:val="en-US"/>
        </w:rPr>
        <w:t>h</w:t>
      </w:r>
      <w:r w:rsidRPr="009300B8">
        <w:rPr>
          <w:lang w:val="en-US"/>
        </w:rPr>
        <w:t xml:space="preserve">ealth </w:t>
      </w:r>
      <w:r w:rsidRPr="005273D7">
        <w:rPr>
          <w:lang w:val="en-US"/>
        </w:rPr>
        <w:t>p</w:t>
      </w:r>
      <w:r w:rsidRPr="009300B8">
        <w:rPr>
          <w:lang w:val="en-US"/>
        </w:rPr>
        <w:t>rofessionals through</w:t>
      </w:r>
      <w:r w:rsidRPr="005273D7">
        <w:rPr>
          <w:lang w:val="en-US"/>
        </w:rPr>
        <w:t xml:space="preserve"> </w:t>
      </w:r>
      <w:r w:rsidR="00EE2030">
        <w:rPr>
          <w:lang w:val="en-US"/>
        </w:rPr>
        <w:t xml:space="preserve">the Department of </w:t>
      </w:r>
      <w:r w:rsidRPr="005273D7">
        <w:rPr>
          <w:lang w:val="en-US"/>
        </w:rPr>
        <w:t>Health</w:t>
      </w:r>
    </w:p>
    <w:p w14:paraId="20CC2F99" w14:textId="30551386" w:rsidR="00AC1C7D" w:rsidRPr="003B7BF0" w:rsidRDefault="00AC1C7D" w:rsidP="003B7BF0">
      <w:pPr>
        <w:pStyle w:val="Heading2"/>
      </w:pPr>
      <w:bookmarkStart w:id="5" w:name="_Toc490491599"/>
      <w:r w:rsidRPr="003B7BF0">
        <w:t>Practice accreditation</w:t>
      </w:r>
      <w:bookmarkEnd w:id="5"/>
    </w:p>
    <w:p w14:paraId="5BD6B41C" w14:textId="0AB81762" w:rsidR="00AC1C7D" w:rsidRDefault="00AC1C7D" w:rsidP="00AC1C7D">
      <w:r>
        <w:t>Practices must be accredited</w:t>
      </w:r>
      <w:r w:rsidR="00A6417E">
        <w:t>,</w:t>
      </w:r>
      <w:r>
        <w:t xml:space="preserve"> </w:t>
      </w:r>
      <w:r w:rsidR="00595D0C">
        <w:t>or registered for accreditation</w:t>
      </w:r>
      <w:r w:rsidR="00A6417E">
        <w:t>,</w:t>
      </w:r>
      <w:r w:rsidR="00595D0C">
        <w:t xml:space="preserve"> </w:t>
      </w:r>
      <w:r>
        <w:t>to participate in the P</w:t>
      </w:r>
      <w:r w:rsidR="00D51E1B">
        <w:t>ractice Nurse Incentive Program (P</w:t>
      </w:r>
      <w:r>
        <w:t>NIP</w:t>
      </w:r>
      <w:r w:rsidR="00D51E1B">
        <w:t>)</w:t>
      </w:r>
      <w:r>
        <w:t xml:space="preserve">. </w:t>
      </w:r>
    </w:p>
    <w:p w14:paraId="58C1132B" w14:textId="63C7BCCE" w:rsidR="00595D0C" w:rsidRDefault="00595D0C" w:rsidP="00AC1C7D">
      <w:pPr>
        <w:rPr>
          <w:lang w:val="en-GB"/>
        </w:rPr>
      </w:pPr>
      <w:r>
        <w:rPr>
          <w:lang w:val="en-GB"/>
        </w:rPr>
        <w:t>If</w:t>
      </w:r>
      <w:r w:rsidRPr="005273D7">
        <w:rPr>
          <w:lang w:val="en-GB"/>
        </w:rPr>
        <w:t xml:space="preserve"> registered for accreditation </w:t>
      </w:r>
      <w:r>
        <w:rPr>
          <w:lang w:val="en-GB"/>
        </w:rPr>
        <w:t>they must</w:t>
      </w:r>
      <w:r w:rsidRPr="005273D7">
        <w:rPr>
          <w:lang w:val="en-GB"/>
        </w:rPr>
        <w:t xml:space="preserve"> achieve accreditation within 12 months of joining the PNIP as a ‘general practice’ against the </w:t>
      </w:r>
      <w:r w:rsidRPr="00595D0C">
        <w:rPr>
          <w:lang w:val="en-GB"/>
        </w:rPr>
        <w:t>Royal Australian College of General Practitioners (</w:t>
      </w:r>
      <w:r w:rsidRPr="005273D7">
        <w:rPr>
          <w:lang w:val="en-GB"/>
        </w:rPr>
        <w:t>RACGP</w:t>
      </w:r>
      <w:r w:rsidRPr="00595D0C">
        <w:rPr>
          <w:lang w:val="en-GB"/>
        </w:rPr>
        <w:t>)</w:t>
      </w:r>
      <w:r w:rsidRPr="005273D7">
        <w:rPr>
          <w:lang w:val="en-GB"/>
        </w:rPr>
        <w:t xml:space="preserve"> </w:t>
      </w:r>
      <w:r w:rsidRPr="005273D7">
        <w:rPr>
          <w:i/>
          <w:lang w:val="en-GB"/>
        </w:rPr>
        <w:t xml:space="preserve">Standards for </w:t>
      </w:r>
      <w:r w:rsidR="00986117">
        <w:rPr>
          <w:i/>
          <w:lang w:val="en-GB"/>
        </w:rPr>
        <w:t>g</w:t>
      </w:r>
      <w:r w:rsidRPr="005273D7">
        <w:rPr>
          <w:i/>
          <w:lang w:val="en-GB"/>
        </w:rPr>
        <w:t xml:space="preserve">eneral </w:t>
      </w:r>
      <w:r w:rsidR="00986117">
        <w:rPr>
          <w:i/>
          <w:lang w:val="en-GB"/>
        </w:rPr>
        <w:t>p</w:t>
      </w:r>
      <w:r w:rsidRPr="005273D7">
        <w:rPr>
          <w:i/>
          <w:lang w:val="en-GB"/>
        </w:rPr>
        <w:t>ractices</w:t>
      </w:r>
      <w:r w:rsidRPr="005273D7">
        <w:rPr>
          <w:lang w:val="en-GB"/>
        </w:rPr>
        <w:t xml:space="preserve"> (the Standards) and noted on the certificate provided by the accrediting body. </w:t>
      </w:r>
    </w:p>
    <w:p w14:paraId="288A70C9" w14:textId="42447F4E" w:rsidR="00595D0C" w:rsidRDefault="00400800" w:rsidP="00595D0C">
      <w:pPr>
        <w:rPr>
          <w:lang w:val="en-GB"/>
        </w:rPr>
      </w:pPr>
      <w:r>
        <w:rPr>
          <w:lang w:val="en-GB"/>
        </w:rPr>
        <w:t>Practices must maintain f</w:t>
      </w:r>
      <w:r w:rsidR="00595D0C" w:rsidRPr="005273D7">
        <w:rPr>
          <w:lang w:val="en-GB"/>
        </w:rPr>
        <w:t>ull accreditation against the Standards</w:t>
      </w:r>
      <w:r w:rsidR="00252527">
        <w:rPr>
          <w:lang w:val="en-GB"/>
        </w:rPr>
        <w:t xml:space="preserve"> thereafter</w:t>
      </w:r>
      <w:r w:rsidR="00595D0C">
        <w:rPr>
          <w:lang w:val="en-GB"/>
        </w:rPr>
        <w:t>.</w:t>
      </w:r>
    </w:p>
    <w:p w14:paraId="39BDB863" w14:textId="371AA3CB" w:rsidR="00D02D8E" w:rsidRPr="005273D7" w:rsidRDefault="00D02D8E" w:rsidP="00D02D8E">
      <w:r w:rsidRPr="005273D7">
        <w:t>If a P</w:t>
      </w:r>
      <w:r w:rsidR="00D51E1B">
        <w:t>ractice Incentives Program (P</w:t>
      </w:r>
      <w:r w:rsidRPr="005273D7">
        <w:t>IP</w:t>
      </w:r>
      <w:r w:rsidR="00D51E1B">
        <w:t>)</w:t>
      </w:r>
      <w:r w:rsidRPr="005273D7">
        <w:t xml:space="preserve"> consenting practice is registered for accreditation, the 12 month period will start from the date the practice joined the PIP.</w:t>
      </w:r>
    </w:p>
    <w:p w14:paraId="4593FA4D" w14:textId="64819D88" w:rsidR="00427D66" w:rsidRDefault="00595D0C" w:rsidP="00595D0C">
      <w:pPr>
        <w:rPr>
          <w:lang w:val="en-GB"/>
        </w:rPr>
      </w:pPr>
      <w:r w:rsidRPr="005273D7">
        <w:rPr>
          <w:lang w:val="en-GB"/>
        </w:rPr>
        <w:t xml:space="preserve">If </w:t>
      </w:r>
      <w:r w:rsidR="000F45DF">
        <w:rPr>
          <w:lang w:val="en-GB"/>
        </w:rPr>
        <w:t xml:space="preserve">the practice is not fully accredited </w:t>
      </w:r>
      <w:r w:rsidRPr="005273D7">
        <w:rPr>
          <w:lang w:val="en-GB"/>
        </w:rPr>
        <w:t>within</w:t>
      </w:r>
      <w:r w:rsidRPr="00595D0C">
        <w:rPr>
          <w:lang w:val="en-GB"/>
        </w:rPr>
        <w:t xml:space="preserve"> 12 months</w:t>
      </w:r>
      <w:r w:rsidR="000F45DF">
        <w:rPr>
          <w:lang w:val="en-GB"/>
        </w:rPr>
        <w:t xml:space="preserve"> it </w:t>
      </w:r>
      <w:r w:rsidRPr="00595D0C">
        <w:rPr>
          <w:lang w:val="en-GB"/>
        </w:rPr>
        <w:t>won’</w:t>
      </w:r>
      <w:r w:rsidRPr="005273D7">
        <w:rPr>
          <w:lang w:val="en-GB"/>
        </w:rPr>
        <w:t xml:space="preserve">t be eligible for any further payments beyond that </w:t>
      </w:r>
      <w:r w:rsidR="00427D66">
        <w:rPr>
          <w:lang w:val="en-GB"/>
        </w:rPr>
        <w:t>time</w:t>
      </w:r>
      <w:r w:rsidRPr="005273D7">
        <w:rPr>
          <w:lang w:val="en-GB"/>
        </w:rPr>
        <w:t xml:space="preserve">. </w:t>
      </w:r>
    </w:p>
    <w:p w14:paraId="0C9C5F43" w14:textId="39E5E360" w:rsidR="00595D0C" w:rsidRPr="00427D66" w:rsidRDefault="00C01244" w:rsidP="00427D66">
      <w:pPr>
        <w:rPr>
          <w:lang w:val="en-GB"/>
        </w:rPr>
      </w:pPr>
      <w:r>
        <w:rPr>
          <w:lang w:val="en-GB"/>
        </w:rPr>
        <w:t xml:space="preserve">The practice will become eligible for a payment once it has achieved </w:t>
      </w:r>
      <w:r w:rsidR="00595D0C" w:rsidRPr="005273D7">
        <w:rPr>
          <w:lang w:val="en-GB"/>
        </w:rPr>
        <w:t>full accreditation</w:t>
      </w:r>
      <w:r w:rsidR="00E43145">
        <w:rPr>
          <w:lang w:val="en-GB"/>
        </w:rPr>
        <w:t xml:space="preserve"> for </w:t>
      </w:r>
      <w:r>
        <w:rPr>
          <w:lang w:val="en-GB"/>
        </w:rPr>
        <w:t>an</w:t>
      </w:r>
      <w:r w:rsidR="00E43145">
        <w:rPr>
          <w:lang w:val="en-GB"/>
        </w:rPr>
        <w:t xml:space="preserve"> entire quarter</w:t>
      </w:r>
      <w:r w:rsidR="00595D0C" w:rsidRPr="005273D7">
        <w:rPr>
          <w:lang w:val="en-GB"/>
        </w:rPr>
        <w:t>. The practice is not entitled to any withheld payments for any period not covered by full accreditation</w:t>
      </w:r>
      <w:r w:rsidR="00595D0C" w:rsidRPr="00595D0C">
        <w:rPr>
          <w:lang w:val="en-GB"/>
        </w:rPr>
        <w:t xml:space="preserve"> for the entire quarter</w:t>
      </w:r>
      <w:r w:rsidR="00595D0C" w:rsidRPr="005273D7">
        <w:rPr>
          <w:lang w:val="en-GB"/>
        </w:rPr>
        <w:t xml:space="preserve">. </w:t>
      </w:r>
    </w:p>
    <w:p w14:paraId="5EDFAE1E" w14:textId="488C4BBD" w:rsidR="00AC1C7D" w:rsidRDefault="00D51E1B" w:rsidP="00E43145">
      <w:r>
        <w:t>A</w:t>
      </w:r>
      <w:r w:rsidR="00E43145">
        <w:t xml:space="preserve">ccrediting bodies must be approved under the </w:t>
      </w:r>
      <w:r w:rsidR="00E43145" w:rsidRPr="00DB6495">
        <w:t>National General Practice Accreditation Scheme</w:t>
      </w:r>
      <w:r w:rsidR="00E43145">
        <w:t xml:space="preserve"> to accredit practices to participate in the PNIP</w:t>
      </w:r>
      <w:r w:rsidR="00C01244">
        <w:t>.</w:t>
      </w:r>
    </w:p>
    <w:p w14:paraId="07BD1C57" w14:textId="6F4CB906" w:rsidR="00535548" w:rsidRPr="005273D7" w:rsidRDefault="00117483" w:rsidP="0036652A">
      <w:pPr>
        <w:pStyle w:val="Heading3"/>
      </w:pPr>
      <w:bookmarkStart w:id="6" w:name="_Toc490491600"/>
      <w:r>
        <w:t>Practices with multiple locations</w:t>
      </w:r>
      <w:bookmarkEnd w:id="6"/>
    </w:p>
    <w:p w14:paraId="45B73D8D" w14:textId="0E8AA8C2" w:rsidR="00117483" w:rsidRDefault="00C07535" w:rsidP="00C07535">
      <w:r w:rsidRPr="005273D7">
        <w:t xml:space="preserve">Practices with multiple locations can apply for the PNIP as a single practice as long as </w:t>
      </w:r>
      <w:r w:rsidR="00117483">
        <w:t xml:space="preserve">they meet </w:t>
      </w:r>
      <w:r w:rsidRPr="005273D7">
        <w:t>eligibility requirement</w:t>
      </w:r>
      <w:r w:rsidR="00117483">
        <w:t>s</w:t>
      </w:r>
      <w:r w:rsidRPr="005273D7">
        <w:t xml:space="preserve">. </w:t>
      </w:r>
    </w:p>
    <w:p w14:paraId="0AF78CB3" w14:textId="5365C186" w:rsidR="00C07535" w:rsidRPr="00C07535" w:rsidRDefault="00C07535" w:rsidP="00117483">
      <w:r w:rsidRPr="005273D7">
        <w:t>Practices need to nominate the main practice location. The main practice location must be the practice location that provides the most Medicare Benefits Schedule (MBS) services each year. Additional practice locations are known as practice branches.</w:t>
      </w:r>
      <w:r w:rsidR="00117483">
        <w:t xml:space="preserve"> </w:t>
      </w:r>
    </w:p>
    <w:p w14:paraId="5E173D28" w14:textId="77777777" w:rsidR="00117483" w:rsidRPr="004C32F0" w:rsidRDefault="00117483" w:rsidP="00DF754D">
      <w:pPr>
        <w:pStyle w:val="Heading4"/>
        <w:rPr>
          <w:i w:val="0"/>
        </w:rPr>
      </w:pPr>
      <w:r w:rsidRPr="004C32F0">
        <w:rPr>
          <w:i w:val="0"/>
        </w:rPr>
        <w:t>Eligibility as a practice branch</w:t>
      </w:r>
    </w:p>
    <w:p w14:paraId="3C91FFCC" w14:textId="77777777" w:rsidR="00117483" w:rsidRPr="005273D7" w:rsidRDefault="00117483" w:rsidP="00117483">
      <w:pPr>
        <w:rPr>
          <w:rFonts w:cs="Arial"/>
          <w:color w:val="000000"/>
          <w:lang w:val="en-GB"/>
        </w:rPr>
      </w:pPr>
      <w:r w:rsidRPr="005273D7">
        <w:rPr>
          <w:rFonts w:cs="Arial"/>
          <w:color w:val="000000"/>
          <w:lang w:val="en-GB"/>
        </w:rPr>
        <w:t>To be considered eligible as a practice branch:</w:t>
      </w:r>
    </w:p>
    <w:p w14:paraId="480F0DE6" w14:textId="77777777" w:rsidR="00117483" w:rsidRPr="005273D7" w:rsidRDefault="00117483" w:rsidP="00117483">
      <w:pPr>
        <w:pStyle w:val="PNIPbullets"/>
        <w:rPr>
          <w:lang w:val="en-GB"/>
        </w:rPr>
      </w:pPr>
      <w:r w:rsidRPr="005273D7">
        <w:rPr>
          <w:lang w:val="en-GB"/>
        </w:rPr>
        <w:t>MBS services must be provided from the practice branch</w:t>
      </w:r>
    </w:p>
    <w:p w14:paraId="049513C4" w14:textId="53800C21" w:rsidR="00117483" w:rsidRPr="005273D7" w:rsidRDefault="00117483" w:rsidP="00117483">
      <w:pPr>
        <w:pStyle w:val="PNIPbullets"/>
        <w:rPr>
          <w:lang w:val="en-GB"/>
        </w:rPr>
      </w:pPr>
      <w:r w:rsidRPr="005273D7">
        <w:rPr>
          <w:lang w:val="en-GB"/>
        </w:rPr>
        <w:t>1 or more G</w:t>
      </w:r>
      <w:r w:rsidR="00D51E1B">
        <w:rPr>
          <w:lang w:val="en-GB"/>
        </w:rPr>
        <w:t xml:space="preserve">eneral </w:t>
      </w:r>
      <w:r w:rsidRPr="005273D7">
        <w:rPr>
          <w:lang w:val="en-GB"/>
        </w:rPr>
        <w:t>P</w:t>
      </w:r>
      <w:r w:rsidR="00D51E1B">
        <w:rPr>
          <w:lang w:val="en-GB"/>
        </w:rPr>
        <w:t>ractitioner</w:t>
      </w:r>
      <w:r w:rsidRPr="005273D7">
        <w:rPr>
          <w:lang w:val="en-GB"/>
        </w:rPr>
        <w:t xml:space="preserve"> must provide MBS services at both the main practice and the practice branch</w:t>
      </w:r>
    </w:p>
    <w:p w14:paraId="6623E632" w14:textId="0944EE14" w:rsidR="00117483" w:rsidRPr="005273D7" w:rsidRDefault="00117483" w:rsidP="00117483">
      <w:pPr>
        <w:pStyle w:val="PNIPbullets"/>
        <w:rPr>
          <w:lang w:val="en-GB"/>
        </w:rPr>
      </w:pPr>
      <w:r w:rsidRPr="005273D7">
        <w:rPr>
          <w:lang w:val="en-GB"/>
        </w:rPr>
        <w:t>the practice branch must maintain at least $10 million in public liability insurance cover (Note: legal lia</w:t>
      </w:r>
      <w:r>
        <w:rPr>
          <w:lang w:val="en-GB"/>
        </w:rPr>
        <w:t>bility is not public liability)</w:t>
      </w:r>
      <w:r w:rsidR="00F73B03">
        <w:rPr>
          <w:lang w:val="en-GB"/>
        </w:rPr>
        <w:t>, and</w:t>
      </w:r>
    </w:p>
    <w:p w14:paraId="0A42FB83" w14:textId="346E381A" w:rsidR="00117483" w:rsidRPr="005273D7" w:rsidRDefault="00117483" w:rsidP="00117483">
      <w:pPr>
        <w:pStyle w:val="PNIPbullets"/>
        <w:rPr>
          <w:lang w:val="en-GB"/>
        </w:rPr>
      </w:pPr>
      <w:r w:rsidRPr="005273D7">
        <w:rPr>
          <w:lang w:val="en-GB"/>
        </w:rPr>
        <w:t>all eligible health professionals at the practice branch must maintain current professional indemnity cover</w:t>
      </w:r>
    </w:p>
    <w:p w14:paraId="185A1D1E" w14:textId="56B9E660" w:rsidR="00117483" w:rsidRPr="00D52256" w:rsidRDefault="00117483" w:rsidP="0036652A">
      <w:pPr>
        <w:pStyle w:val="Heading3"/>
      </w:pPr>
      <w:bookmarkStart w:id="7" w:name="_Toc490491601"/>
      <w:r w:rsidRPr="00D52256">
        <w:t>Accreditation requirements – practice branches</w:t>
      </w:r>
      <w:bookmarkEnd w:id="7"/>
    </w:p>
    <w:p w14:paraId="7CF4DCF0" w14:textId="0CDEB0E2" w:rsidR="00535548" w:rsidRPr="005273D7" w:rsidRDefault="000F45DF" w:rsidP="00C07535">
      <w:r>
        <w:t xml:space="preserve">If a </w:t>
      </w:r>
      <w:r w:rsidR="00056A13">
        <w:t>p</w:t>
      </w:r>
      <w:r w:rsidR="00535548" w:rsidRPr="005273D7">
        <w:t>ractice branch provid</w:t>
      </w:r>
      <w:r>
        <w:t>es</w:t>
      </w:r>
      <w:r w:rsidR="00535548" w:rsidRPr="005273D7">
        <w:t xml:space="preserve"> </w:t>
      </w:r>
      <w:r w:rsidR="00535548" w:rsidRPr="00DF754D">
        <w:rPr>
          <w:b/>
        </w:rPr>
        <w:t>less than 3,000 services</w:t>
      </w:r>
      <w:r w:rsidR="00535548" w:rsidRPr="00571022">
        <w:t xml:space="preserve"> each year</w:t>
      </w:r>
      <w:r>
        <w:t xml:space="preserve"> there</w:t>
      </w:r>
      <w:r w:rsidR="00A6417E">
        <w:t>’</w:t>
      </w:r>
      <w:r>
        <w:t xml:space="preserve">s no need for it to be accredited </w:t>
      </w:r>
      <w:r w:rsidRPr="005273D7">
        <w:t>to be eligible to participate in the</w:t>
      </w:r>
      <w:r>
        <w:t xml:space="preserve"> </w:t>
      </w:r>
      <w:r w:rsidRPr="005273D7">
        <w:t>PNIP</w:t>
      </w:r>
      <w:r w:rsidR="00535548" w:rsidRPr="005273D7">
        <w:t xml:space="preserve">. The MBS services of these practice branches will be automatically </w:t>
      </w:r>
      <w:r w:rsidR="00535548" w:rsidRPr="005273D7">
        <w:lastRenderedPageBreak/>
        <w:t>included in the calculation of the practice’s PNIP payments for the main location, regardless of accreditation status.</w:t>
      </w:r>
    </w:p>
    <w:p w14:paraId="49500D13" w14:textId="56347A75" w:rsidR="00535548" w:rsidRPr="005273D7" w:rsidRDefault="000F45DF" w:rsidP="00056A13">
      <w:pPr>
        <w:ind w:left="714" w:firstLine="0"/>
      </w:pPr>
      <w:r>
        <w:t>P</w:t>
      </w:r>
      <w:r w:rsidR="00535548" w:rsidRPr="005273D7">
        <w:t xml:space="preserve">ractice branches providing </w:t>
      </w:r>
      <w:r w:rsidR="00535548" w:rsidRPr="005273D7">
        <w:rPr>
          <w:b/>
        </w:rPr>
        <w:t>3,000 or more services</w:t>
      </w:r>
      <w:r w:rsidR="00535548" w:rsidRPr="005273D7">
        <w:t xml:space="preserve"> each year</w:t>
      </w:r>
      <w:r>
        <w:t xml:space="preserve"> need to be accredited</w:t>
      </w:r>
      <w:r w:rsidR="00535548" w:rsidRPr="005273D7">
        <w:t xml:space="preserve"> </w:t>
      </w:r>
      <w:r w:rsidR="00056A13">
        <w:t xml:space="preserve">to be eligible to participate in the PNIP. These practice branches </w:t>
      </w:r>
      <w:r w:rsidR="00535548" w:rsidRPr="005273D7">
        <w:t xml:space="preserve">need to maintain full accreditation or be registered for accreditation in their own right. </w:t>
      </w:r>
    </w:p>
    <w:p w14:paraId="2165C211" w14:textId="364AC8B9" w:rsidR="00535548" w:rsidRPr="005273D7" w:rsidRDefault="00535548" w:rsidP="00535548">
      <w:r w:rsidRPr="00571022">
        <w:t>P</w:t>
      </w:r>
      <w:r w:rsidRPr="005273D7">
        <w:t>ractice branch</w:t>
      </w:r>
      <w:r w:rsidRPr="00571022">
        <w:t>es</w:t>
      </w:r>
      <w:r w:rsidRPr="005273D7">
        <w:t xml:space="preserve"> registered for ac</w:t>
      </w:r>
      <w:r w:rsidRPr="00571022">
        <w:t>creditation have</w:t>
      </w:r>
      <w:r w:rsidRPr="005273D7">
        <w:t xml:space="preserve"> 12 months from the date the practice branch </w:t>
      </w:r>
      <w:r w:rsidRPr="005273D7">
        <w:rPr>
          <w:iCs/>
        </w:rPr>
        <w:t xml:space="preserve">reached 3,000 services </w:t>
      </w:r>
      <w:r w:rsidRPr="005273D7">
        <w:t xml:space="preserve">to achieve full accreditation. </w:t>
      </w:r>
    </w:p>
    <w:p w14:paraId="4DE64246" w14:textId="45AF6B60" w:rsidR="00535548" w:rsidRPr="00D00456" w:rsidRDefault="00535548" w:rsidP="00535548">
      <w:r w:rsidRPr="00D00456">
        <w:t xml:space="preserve">Existing practices that open a practice branch and register the branch for accreditation </w:t>
      </w:r>
      <w:r w:rsidR="000F45DF" w:rsidRPr="00D00456">
        <w:t xml:space="preserve">are </w:t>
      </w:r>
      <w:r w:rsidR="000F45DF" w:rsidRPr="00D00456">
        <w:rPr>
          <w:b/>
        </w:rPr>
        <w:t>not</w:t>
      </w:r>
      <w:r w:rsidRPr="00D00456">
        <w:rPr>
          <w:b/>
        </w:rPr>
        <w:t xml:space="preserve"> </w:t>
      </w:r>
      <w:r w:rsidRPr="00D00456">
        <w:t>eligible for the $5,000 accreditation assistance payment for the practice branch.</w:t>
      </w:r>
    </w:p>
    <w:p w14:paraId="3378D419" w14:textId="77777777" w:rsidR="00E029B7" w:rsidRPr="00495F85" w:rsidRDefault="00E029B7" w:rsidP="004C32F0">
      <w:pPr>
        <w:pStyle w:val="Heading4"/>
      </w:pPr>
      <w:r w:rsidRPr="004C32F0">
        <w:rPr>
          <w:i w:val="0"/>
        </w:rPr>
        <w:t>Transfer of accreditation</w:t>
      </w:r>
    </w:p>
    <w:p w14:paraId="316BF86F" w14:textId="44471CCD" w:rsidR="00E029B7" w:rsidRPr="00E029B7" w:rsidRDefault="00A30251" w:rsidP="00A44C93">
      <w:pPr>
        <w:rPr>
          <w:lang w:val="en-US"/>
        </w:rPr>
      </w:pPr>
      <w:r>
        <w:rPr>
          <w:lang w:val="en-US"/>
        </w:rPr>
        <w:t>If</w:t>
      </w:r>
      <w:r w:rsidR="00E029B7" w:rsidRPr="00E029B7">
        <w:rPr>
          <w:lang w:val="en-US"/>
        </w:rPr>
        <w:t xml:space="preserve"> an accredited PNIP practice relocates, </w:t>
      </w:r>
      <w:r w:rsidR="00F35E13">
        <w:rPr>
          <w:lang w:val="en-US"/>
        </w:rPr>
        <w:t>it</w:t>
      </w:r>
      <w:r w:rsidR="00E029B7">
        <w:rPr>
          <w:lang w:val="en-US"/>
        </w:rPr>
        <w:t xml:space="preserve"> will need </w:t>
      </w:r>
      <w:r w:rsidR="00E029B7" w:rsidRPr="00E029B7">
        <w:rPr>
          <w:lang w:val="en-US"/>
        </w:rPr>
        <w:t xml:space="preserve">a new accreditation certificate </w:t>
      </w:r>
      <w:r w:rsidR="00E029B7">
        <w:rPr>
          <w:lang w:val="en-US"/>
        </w:rPr>
        <w:t>from</w:t>
      </w:r>
      <w:r w:rsidR="00E029B7" w:rsidRPr="00E029B7">
        <w:rPr>
          <w:lang w:val="en-US"/>
        </w:rPr>
        <w:t xml:space="preserve"> the accrediting body to verify that </w:t>
      </w:r>
      <w:r w:rsidR="00F35E13">
        <w:rPr>
          <w:lang w:val="en-US"/>
        </w:rPr>
        <w:t>it</w:t>
      </w:r>
      <w:r w:rsidR="00E029B7">
        <w:rPr>
          <w:lang w:val="en-US"/>
        </w:rPr>
        <w:t xml:space="preserve"> meet</w:t>
      </w:r>
      <w:r w:rsidR="00F35E13">
        <w:rPr>
          <w:lang w:val="en-US"/>
        </w:rPr>
        <w:t>s</w:t>
      </w:r>
      <w:r w:rsidR="00E029B7">
        <w:rPr>
          <w:lang w:val="en-US"/>
        </w:rPr>
        <w:t xml:space="preserve"> </w:t>
      </w:r>
      <w:r w:rsidR="00E029B7" w:rsidRPr="00E029B7">
        <w:rPr>
          <w:lang w:val="en-US"/>
        </w:rPr>
        <w:t>the ac</w:t>
      </w:r>
      <w:r w:rsidR="00E029B7">
        <w:rPr>
          <w:lang w:val="en-US"/>
        </w:rPr>
        <w:t>creditation status against the s</w:t>
      </w:r>
      <w:r w:rsidR="00E029B7" w:rsidRPr="00E029B7">
        <w:rPr>
          <w:lang w:val="en-US"/>
        </w:rPr>
        <w:t xml:space="preserve">tandards </w:t>
      </w:r>
      <w:r w:rsidR="00E029B7">
        <w:rPr>
          <w:lang w:val="en-US"/>
        </w:rPr>
        <w:t>at the new location.</w:t>
      </w:r>
    </w:p>
    <w:p w14:paraId="07BA2B5A" w14:textId="0824B88D" w:rsidR="00E029B7" w:rsidRDefault="00F35E13" w:rsidP="00A44C93">
      <w:pPr>
        <w:rPr>
          <w:lang w:val="en-US"/>
        </w:rPr>
      </w:pPr>
      <w:r>
        <w:rPr>
          <w:lang w:val="en-US"/>
        </w:rPr>
        <w:t>The practice</w:t>
      </w:r>
      <w:r w:rsidR="00E029B7">
        <w:rPr>
          <w:lang w:val="en-US"/>
        </w:rPr>
        <w:t xml:space="preserve"> will</w:t>
      </w:r>
      <w:r w:rsidR="00E029B7" w:rsidRPr="00E029B7">
        <w:rPr>
          <w:lang w:val="en-US"/>
        </w:rPr>
        <w:t xml:space="preserve"> need to provide </w:t>
      </w:r>
      <w:r w:rsidR="00E029B7">
        <w:rPr>
          <w:lang w:val="en-US"/>
        </w:rPr>
        <w:t xml:space="preserve">us with </w:t>
      </w:r>
      <w:r w:rsidR="00650CC5">
        <w:rPr>
          <w:lang w:val="en-US"/>
        </w:rPr>
        <w:t xml:space="preserve">a copy of the new accreditation certificate </w:t>
      </w:r>
      <w:r w:rsidR="00E029B7" w:rsidRPr="00986117">
        <w:rPr>
          <w:b/>
          <w:lang w:val="en-US"/>
        </w:rPr>
        <w:t>within 6 months</w:t>
      </w:r>
      <w:r w:rsidR="00E029B7" w:rsidRPr="00E029B7">
        <w:rPr>
          <w:lang w:val="en-US"/>
        </w:rPr>
        <w:t xml:space="preserve"> of the practice relocating. </w:t>
      </w:r>
    </w:p>
    <w:p w14:paraId="16C13957" w14:textId="02B3A50D" w:rsidR="00003F88" w:rsidRDefault="00003F88" w:rsidP="00003F88">
      <w:pPr>
        <w:rPr>
          <w:lang w:val="en-US"/>
        </w:rPr>
      </w:pPr>
      <w:r w:rsidRPr="005273D7">
        <w:t>Practice payments will be placed on hold until an accreditation certificate showing the new location address has been supplied.</w:t>
      </w:r>
    </w:p>
    <w:p w14:paraId="1977AC9E" w14:textId="69C4B677" w:rsidR="00E029B7" w:rsidRDefault="00E029B7" w:rsidP="00A44C93">
      <w:pPr>
        <w:rPr>
          <w:lang w:val="en-US"/>
        </w:rPr>
      </w:pPr>
      <w:r w:rsidRPr="00E029B7">
        <w:rPr>
          <w:lang w:val="en-US"/>
        </w:rPr>
        <w:t>When a practice is sold to a new owner, the accreditation must be included in the sale for the practice</w:t>
      </w:r>
      <w:r w:rsidR="00AE3956">
        <w:rPr>
          <w:lang w:val="en-US"/>
        </w:rPr>
        <w:t xml:space="preserve"> to participate in the program using the historical data including the </w:t>
      </w:r>
      <w:r w:rsidR="002E4553">
        <w:rPr>
          <w:lang w:val="en-US"/>
        </w:rPr>
        <w:t>Standardised Whole Patient Equivalent</w:t>
      </w:r>
      <w:r w:rsidR="00AE3956">
        <w:rPr>
          <w:lang w:val="en-US"/>
        </w:rPr>
        <w:t xml:space="preserve"> from the previous owner</w:t>
      </w:r>
      <w:r>
        <w:rPr>
          <w:lang w:val="en-US"/>
        </w:rPr>
        <w:t xml:space="preserve">. </w:t>
      </w:r>
    </w:p>
    <w:p w14:paraId="5E48E0DF" w14:textId="0C6EB9D7" w:rsidR="00E029B7" w:rsidRDefault="00E029B7" w:rsidP="00A44C93">
      <w:pPr>
        <w:rPr>
          <w:lang w:val="en-US"/>
        </w:rPr>
      </w:pPr>
      <w:r w:rsidRPr="00E029B7">
        <w:rPr>
          <w:lang w:val="en-US"/>
        </w:rPr>
        <w:t>If the new practice owner does not have full accreditation they will need to apply as a new practice.</w:t>
      </w:r>
    </w:p>
    <w:p w14:paraId="484FDC67" w14:textId="2AB22300" w:rsidR="002042AE" w:rsidRDefault="002042AE">
      <w:pPr>
        <w:spacing w:before="0" w:after="160" w:line="259" w:lineRule="auto"/>
        <w:ind w:left="0" w:right="0" w:firstLine="0"/>
        <w:rPr>
          <w:lang w:val="en-US"/>
        </w:rPr>
      </w:pPr>
    </w:p>
    <w:p w14:paraId="2C67960D" w14:textId="0EF57BDD" w:rsidR="009D5647" w:rsidRDefault="009D5647" w:rsidP="0036652A">
      <w:pPr>
        <w:pStyle w:val="Heading1"/>
      </w:pPr>
      <w:bookmarkStart w:id="8" w:name="_Toc490491602"/>
      <w:r>
        <w:t>Claiming</w:t>
      </w:r>
      <w:bookmarkEnd w:id="8"/>
    </w:p>
    <w:p w14:paraId="72A87049" w14:textId="1FCA0233" w:rsidR="0027259F" w:rsidRDefault="0027259F" w:rsidP="003B7BF0">
      <w:pPr>
        <w:pStyle w:val="Heading2"/>
      </w:pPr>
      <w:bookmarkStart w:id="9" w:name="_Toc490491603"/>
      <w:r>
        <w:t>Before you start</w:t>
      </w:r>
      <w:bookmarkEnd w:id="9"/>
    </w:p>
    <w:p w14:paraId="2F351737" w14:textId="24B7AEE8" w:rsidR="00790ED4" w:rsidRPr="005273D7" w:rsidRDefault="00790ED4" w:rsidP="00790ED4">
      <w:pPr>
        <w:rPr>
          <w:lang w:val="en-GB"/>
        </w:rPr>
      </w:pPr>
      <w:r w:rsidRPr="005273D7">
        <w:rPr>
          <w:lang w:val="en-GB"/>
        </w:rPr>
        <w:t xml:space="preserve">Practices in </w:t>
      </w:r>
      <w:r>
        <w:rPr>
          <w:lang w:val="en-GB"/>
        </w:rPr>
        <w:t>Urban Areas of</w:t>
      </w:r>
      <w:r w:rsidRPr="00790ED4">
        <w:rPr>
          <w:lang w:val="en-GB"/>
        </w:rPr>
        <w:t xml:space="preserve"> Workforce Shortage </w:t>
      </w:r>
      <w:r w:rsidR="00FD578D">
        <w:rPr>
          <w:lang w:val="en-GB"/>
        </w:rPr>
        <w:t>(UAWSs)</w:t>
      </w:r>
      <w:r w:rsidR="00A6417E">
        <w:rPr>
          <w:lang w:val="en-GB"/>
        </w:rPr>
        <w:t>,</w:t>
      </w:r>
      <w:r w:rsidR="00FD578D">
        <w:rPr>
          <w:lang w:val="en-GB"/>
        </w:rPr>
        <w:t xml:space="preserve"> </w:t>
      </w:r>
      <w:r w:rsidRPr="005273D7">
        <w:rPr>
          <w:lang w:val="en-GB"/>
        </w:rPr>
        <w:t xml:space="preserve">as well as </w:t>
      </w:r>
      <w:r w:rsidRPr="00790ED4">
        <w:rPr>
          <w:lang w:val="en-GB"/>
        </w:rPr>
        <w:t>Aboriginal Community Controlled Health Services</w:t>
      </w:r>
      <w:r w:rsidR="00A6417E">
        <w:rPr>
          <w:lang w:val="en-GB"/>
        </w:rPr>
        <w:t>,</w:t>
      </w:r>
      <w:r w:rsidRPr="005273D7">
        <w:rPr>
          <w:lang w:val="en-GB"/>
        </w:rPr>
        <w:t xml:space="preserve"> can apply for support through the </w:t>
      </w:r>
      <w:r w:rsidR="00775D5D" w:rsidRPr="005273D7">
        <w:rPr>
          <w:lang w:val="en-US"/>
        </w:rPr>
        <w:t>P</w:t>
      </w:r>
      <w:r w:rsidR="00775D5D">
        <w:rPr>
          <w:lang w:val="en-US"/>
        </w:rPr>
        <w:t>ractice Nurse Incentive Program (</w:t>
      </w:r>
      <w:r w:rsidRPr="005273D7">
        <w:rPr>
          <w:lang w:val="en-GB"/>
        </w:rPr>
        <w:t>PNIP</w:t>
      </w:r>
      <w:r w:rsidR="00775D5D">
        <w:rPr>
          <w:lang w:val="en-GB"/>
        </w:rPr>
        <w:t>)</w:t>
      </w:r>
      <w:r w:rsidRPr="005273D7">
        <w:rPr>
          <w:lang w:val="en-GB"/>
        </w:rPr>
        <w:t xml:space="preserve"> to employ an allied health professional instead of, or </w:t>
      </w:r>
      <w:r w:rsidR="00F35E13">
        <w:rPr>
          <w:lang w:val="en-GB"/>
        </w:rPr>
        <w:t>as</w:t>
      </w:r>
      <w:r w:rsidR="00F35E13" w:rsidRPr="005273D7">
        <w:rPr>
          <w:lang w:val="en-GB"/>
        </w:rPr>
        <w:t xml:space="preserve"> </w:t>
      </w:r>
      <w:r w:rsidR="00F35E13">
        <w:rPr>
          <w:lang w:val="en-GB"/>
        </w:rPr>
        <w:t>well as</w:t>
      </w:r>
      <w:r w:rsidRPr="005273D7">
        <w:rPr>
          <w:lang w:val="en-GB"/>
        </w:rPr>
        <w:t xml:space="preserve">, practice nurses, </w:t>
      </w:r>
      <w:r w:rsidR="0037699E" w:rsidRPr="004A609F">
        <w:t>Aboriginal and Torres Strait Islander Health Workers</w:t>
      </w:r>
      <w:r w:rsidRPr="00873167">
        <w:rPr>
          <w:lang w:val="en-GB"/>
        </w:rPr>
        <w:t xml:space="preserve"> or </w:t>
      </w:r>
      <w:r w:rsidR="0037699E" w:rsidRPr="004A609F">
        <w:t xml:space="preserve">Aboriginal and Torres Strait Islander Health Practitioners </w:t>
      </w:r>
      <w:r w:rsidRPr="00873167">
        <w:rPr>
          <w:lang w:val="en-GB"/>
        </w:rPr>
        <w:t>.</w:t>
      </w:r>
    </w:p>
    <w:p w14:paraId="22C85ED1" w14:textId="4F06B5BD" w:rsidR="00790ED4" w:rsidRDefault="00D51E1B" w:rsidP="005273D7">
      <w:pPr>
        <w:rPr>
          <w:lang w:val="en-US"/>
        </w:rPr>
      </w:pPr>
      <w:r>
        <w:rPr>
          <w:lang w:val="en-US"/>
        </w:rPr>
        <w:t>P</w:t>
      </w:r>
      <w:r w:rsidR="00790ED4" w:rsidRPr="005273D7">
        <w:rPr>
          <w:lang w:val="en-US"/>
        </w:rPr>
        <w:t>NIP practices can only claim the hours worked by a</w:t>
      </w:r>
      <w:r w:rsidR="00790ED4" w:rsidRPr="00790ED4">
        <w:rPr>
          <w:lang w:val="en-US"/>
        </w:rPr>
        <w:t>n</w:t>
      </w:r>
      <w:r w:rsidR="00790ED4" w:rsidRPr="005273D7">
        <w:rPr>
          <w:lang w:val="en-US"/>
        </w:rPr>
        <w:t xml:space="preserve"> </w:t>
      </w:r>
      <w:r w:rsidR="00FD578D">
        <w:rPr>
          <w:lang w:val="en-US"/>
        </w:rPr>
        <w:t>a</w:t>
      </w:r>
      <w:r w:rsidR="00790ED4" w:rsidRPr="005273D7">
        <w:rPr>
          <w:lang w:val="en-US"/>
        </w:rPr>
        <w:t xml:space="preserve">llied </w:t>
      </w:r>
      <w:r w:rsidR="00FD578D">
        <w:rPr>
          <w:lang w:val="en-US"/>
        </w:rPr>
        <w:t>h</w:t>
      </w:r>
      <w:r w:rsidR="00790ED4" w:rsidRPr="005273D7">
        <w:rPr>
          <w:lang w:val="en-US"/>
        </w:rPr>
        <w:t xml:space="preserve">ealth </w:t>
      </w:r>
      <w:r w:rsidR="00FD578D">
        <w:rPr>
          <w:lang w:val="en-US"/>
        </w:rPr>
        <w:t>p</w:t>
      </w:r>
      <w:r w:rsidR="00790ED4" w:rsidRPr="005273D7">
        <w:rPr>
          <w:lang w:val="en-US"/>
        </w:rPr>
        <w:t xml:space="preserve">rofessional, </w:t>
      </w:r>
      <w:r w:rsidR="00FD578D">
        <w:rPr>
          <w:lang w:val="en-US"/>
        </w:rPr>
        <w:t>p</w:t>
      </w:r>
      <w:r w:rsidR="00790ED4" w:rsidRPr="005273D7">
        <w:rPr>
          <w:lang w:val="en-US"/>
        </w:rPr>
        <w:t xml:space="preserve">ractice </w:t>
      </w:r>
      <w:r w:rsidR="00FD578D">
        <w:rPr>
          <w:lang w:val="en-US"/>
        </w:rPr>
        <w:t>n</w:t>
      </w:r>
      <w:r w:rsidR="00790ED4" w:rsidRPr="005273D7">
        <w:rPr>
          <w:lang w:val="en-US"/>
        </w:rPr>
        <w:t xml:space="preserve">urse, </w:t>
      </w:r>
      <w:r w:rsidR="00790ED4" w:rsidRPr="005273D7">
        <w:t xml:space="preserve">Aboriginal and Torres Strait Islander </w:t>
      </w:r>
      <w:r w:rsidR="002E4553">
        <w:t>H</w:t>
      </w:r>
      <w:r w:rsidR="00790ED4" w:rsidRPr="005273D7">
        <w:t xml:space="preserve">ealth </w:t>
      </w:r>
      <w:r w:rsidR="002E4553">
        <w:t>W</w:t>
      </w:r>
      <w:r w:rsidR="00790ED4" w:rsidRPr="005273D7">
        <w:t>orker</w:t>
      </w:r>
      <w:r w:rsidR="00790ED4" w:rsidRPr="005273D7">
        <w:rPr>
          <w:lang w:val="en-US"/>
        </w:rPr>
        <w:t xml:space="preserve"> and </w:t>
      </w:r>
      <w:r w:rsidR="00790ED4" w:rsidRPr="005273D7">
        <w:t xml:space="preserve">Aboriginal and Torres Strait Islander </w:t>
      </w:r>
      <w:r w:rsidR="002E4553">
        <w:t>H</w:t>
      </w:r>
      <w:r w:rsidR="00790ED4" w:rsidRPr="005273D7">
        <w:t xml:space="preserve">ealth </w:t>
      </w:r>
      <w:r w:rsidR="002E4553">
        <w:t>P</w:t>
      </w:r>
      <w:r w:rsidR="00790ED4" w:rsidRPr="005273D7">
        <w:t>ractitioner</w:t>
      </w:r>
      <w:r w:rsidR="00790ED4" w:rsidRPr="005273D7">
        <w:rPr>
          <w:lang w:val="en-US"/>
        </w:rPr>
        <w:t xml:space="preserve"> employed or otherwise retained </w:t>
      </w:r>
      <w:r w:rsidR="00562F88">
        <w:rPr>
          <w:lang w:val="en-US"/>
        </w:rPr>
        <w:t>by</w:t>
      </w:r>
      <w:r w:rsidR="00790ED4" w:rsidRPr="005273D7">
        <w:rPr>
          <w:lang w:val="en-US"/>
        </w:rPr>
        <w:t xml:space="preserve"> that practice. </w:t>
      </w:r>
    </w:p>
    <w:p w14:paraId="64193E40" w14:textId="58B06683" w:rsidR="00790ED4" w:rsidRPr="005273D7" w:rsidRDefault="00790ED4" w:rsidP="00790ED4">
      <w:pPr>
        <w:rPr>
          <w:lang w:val="en-GB"/>
        </w:rPr>
      </w:pPr>
      <w:r w:rsidRPr="005273D7">
        <w:rPr>
          <w:lang w:val="en-GB"/>
        </w:rPr>
        <w:t xml:space="preserve">For the purposes of the PNIP, </w:t>
      </w:r>
      <w:r w:rsidR="00EE2030">
        <w:rPr>
          <w:lang w:val="en-GB"/>
        </w:rPr>
        <w:t xml:space="preserve">the Department of </w:t>
      </w:r>
      <w:r>
        <w:rPr>
          <w:lang w:val="en-GB"/>
        </w:rPr>
        <w:t xml:space="preserve">Health determines </w:t>
      </w:r>
      <w:r w:rsidR="00FD578D">
        <w:rPr>
          <w:lang w:val="en-GB"/>
        </w:rPr>
        <w:t>UAWSs</w:t>
      </w:r>
      <w:r w:rsidRPr="005273D7">
        <w:rPr>
          <w:lang w:val="en-GB"/>
        </w:rPr>
        <w:t xml:space="preserve"> and </w:t>
      </w:r>
      <w:r>
        <w:rPr>
          <w:lang w:val="en-GB"/>
        </w:rPr>
        <w:t xml:space="preserve">these </w:t>
      </w:r>
      <w:r w:rsidRPr="005273D7">
        <w:rPr>
          <w:lang w:val="en-GB"/>
        </w:rPr>
        <w:t>are subject to change. Changes are applied at the first point-in-time after the change</w:t>
      </w:r>
      <w:r>
        <w:rPr>
          <w:lang w:val="en-GB"/>
        </w:rPr>
        <w:t>. This might</w:t>
      </w:r>
      <w:r w:rsidRPr="005273D7">
        <w:rPr>
          <w:lang w:val="en-GB"/>
        </w:rPr>
        <w:t xml:space="preserve"> affect a practice’s payments or eligibility for the PNIP.</w:t>
      </w:r>
    </w:p>
    <w:p w14:paraId="0769DABB" w14:textId="022C8446" w:rsidR="00790ED4" w:rsidRDefault="00AE305E" w:rsidP="0036652A">
      <w:pPr>
        <w:pStyle w:val="Heading3"/>
      </w:pPr>
      <w:bookmarkStart w:id="10" w:name="_Toc490491604"/>
      <w:r w:rsidRPr="003B4868">
        <w:t>Applying</w:t>
      </w:r>
      <w:bookmarkEnd w:id="10"/>
      <w:r>
        <w:t xml:space="preserve"> </w:t>
      </w:r>
    </w:p>
    <w:p w14:paraId="4F1AF099" w14:textId="122E3775" w:rsidR="00696999" w:rsidRPr="005273D7" w:rsidRDefault="00696999" w:rsidP="00696999">
      <w:r w:rsidRPr="005273D7">
        <w:t>A practice owner can apply on behalf of the practice to join the P</w:t>
      </w:r>
      <w:r w:rsidR="00D51E1B">
        <w:t>ractice Nurse Incentive Program (P</w:t>
      </w:r>
      <w:r w:rsidRPr="005273D7">
        <w:t>NIP</w:t>
      </w:r>
      <w:r w:rsidR="00D51E1B">
        <w:t>)</w:t>
      </w:r>
      <w:r w:rsidRPr="005273D7">
        <w:t xml:space="preserve"> at any time:</w:t>
      </w:r>
    </w:p>
    <w:p w14:paraId="2A6B6657" w14:textId="52A19039" w:rsidR="00AE305E" w:rsidRPr="00EB5FA2" w:rsidRDefault="00AE305E" w:rsidP="00BE3886">
      <w:pPr>
        <w:pStyle w:val="PNIPbullets"/>
        <w:rPr>
          <w:lang w:val="en-GB"/>
        </w:rPr>
      </w:pPr>
      <w:r>
        <w:lastRenderedPageBreak/>
        <w:t xml:space="preserve">online through </w:t>
      </w:r>
      <w:r>
        <w:rPr>
          <w:color w:val="000000"/>
          <w:u w:val="single" w:color="000000"/>
        </w:rPr>
        <w:t>Health Professional Online Services</w:t>
      </w:r>
      <w:r>
        <w:t xml:space="preserve"> (HPOS) - </w:t>
      </w:r>
      <w:r>
        <w:rPr>
          <w:lang w:val="en-GB"/>
        </w:rPr>
        <w:t>p</w:t>
      </w:r>
      <w:r w:rsidRPr="00AE305E">
        <w:rPr>
          <w:lang w:val="en-GB"/>
        </w:rPr>
        <w:t>ractice owners must have a Provider Digital Access (PRODA) account</w:t>
      </w:r>
      <w:r>
        <w:rPr>
          <w:lang w:val="en-GB"/>
        </w:rPr>
        <w:t>, or</w:t>
      </w:r>
    </w:p>
    <w:p w14:paraId="7541ECF2" w14:textId="4F76EEB3" w:rsidR="00AE305E" w:rsidRDefault="00AE305E" w:rsidP="00BE3886">
      <w:pPr>
        <w:pStyle w:val="PNIPbullets"/>
      </w:pPr>
      <w:r>
        <w:t xml:space="preserve">by completing the </w:t>
      </w:r>
      <w:r w:rsidR="00650CC5">
        <w:rPr>
          <w:color w:val="000000"/>
          <w:u w:val="single" w:color="000000"/>
        </w:rPr>
        <w:t xml:space="preserve">Practice Incentives </w:t>
      </w:r>
      <w:r>
        <w:rPr>
          <w:color w:val="000000"/>
          <w:u w:val="single" w:color="000000"/>
        </w:rPr>
        <w:t>application</w:t>
      </w:r>
      <w:r>
        <w:t xml:space="preserve"> and </w:t>
      </w:r>
      <w:r>
        <w:rPr>
          <w:color w:val="000000"/>
          <w:u w:val="single" w:color="000000"/>
        </w:rPr>
        <w:t>faxing it to us</w:t>
      </w:r>
      <w:r>
        <w:t xml:space="preserve"> with the required supporting document</w:t>
      </w:r>
      <w:r w:rsidR="00696999">
        <w:t>s</w:t>
      </w:r>
    </w:p>
    <w:p w14:paraId="34C0B3AA" w14:textId="038F94F3" w:rsidR="00696999" w:rsidRDefault="00696999" w:rsidP="00696999">
      <w:r>
        <w:t xml:space="preserve">Practices must provide a certificate of accreditation or registration for accreditation from an approved accrediting body. </w:t>
      </w:r>
    </w:p>
    <w:p w14:paraId="3AFB5888" w14:textId="4250E258" w:rsidR="00696999" w:rsidRDefault="00696999" w:rsidP="00696999">
      <w:r>
        <w:t>Practice information is secured by limiting system access to</w:t>
      </w:r>
      <w:r w:rsidR="00562F88">
        <w:t xml:space="preserve"> HPOS using the </w:t>
      </w:r>
      <w:r>
        <w:t>PRODA accoun</w:t>
      </w:r>
      <w:r w:rsidR="00562F88">
        <w:t xml:space="preserve">t </w:t>
      </w:r>
      <w:r>
        <w:t xml:space="preserve">Registration Authority number </w:t>
      </w:r>
      <w:r w:rsidR="00562F88">
        <w:t xml:space="preserve">linked to </w:t>
      </w:r>
      <w:r w:rsidR="00F35E13">
        <w:t xml:space="preserve">the </w:t>
      </w:r>
      <w:r>
        <w:t xml:space="preserve">practice. </w:t>
      </w:r>
    </w:p>
    <w:p w14:paraId="7FE134B9" w14:textId="77777777" w:rsidR="009A2DF5" w:rsidRDefault="009F48FC" w:rsidP="009A2DF5">
      <w:hyperlink r:id="rId8" w:history="1">
        <w:r w:rsidR="009A2DF5" w:rsidRPr="003B4868">
          <w:rPr>
            <w:rStyle w:val="Hyperlink"/>
          </w:rPr>
          <w:t>Read more about how to register for HPOS</w:t>
        </w:r>
      </w:hyperlink>
      <w:r w:rsidR="009A2DF5">
        <w:t>.</w:t>
      </w:r>
    </w:p>
    <w:p w14:paraId="73842C43" w14:textId="77777777" w:rsidR="00546EA9" w:rsidRPr="00A91698" w:rsidRDefault="00546EA9" w:rsidP="0036652A">
      <w:pPr>
        <w:pStyle w:val="Heading3"/>
      </w:pPr>
      <w:bookmarkStart w:id="11" w:name="_Toc490491605"/>
      <w:r w:rsidRPr="005273D7">
        <w:t>Applications</w:t>
      </w:r>
      <w:bookmarkEnd w:id="11"/>
      <w:r w:rsidRPr="005273D7">
        <w:t xml:space="preserve"> </w:t>
      </w:r>
    </w:p>
    <w:p w14:paraId="3517EBB9" w14:textId="2A7113C9" w:rsidR="00546EA9" w:rsidRPr="004A609F" w:rsidRDefault="00546EA9" w:rsidP="00546EA9">
      <w:r w:rsidRPr="004A609F">
        <w:t>Applications must be complete and include all supporting document</w:t>
      </w:r>
      <w:r w:rsidR="000171DB" w:rsidRPr="004A609F">
        <w:t>s such as the accreditation certificate</w:t>
      </w:r>
      <w:r w:rsidRPr="004A609F">
        <w:t xml:space="preserve">. Incomplete applications won’t be accepted. </w:t>
      </w:r>
    </w:p>
    <w:p w14:paraId="6234C9BD" w14:textId="51E41EE5" w:rsidR="00562F88" w:rsidRDefault="00562F88" w:rsidP="00546EA9">
      <w:r w:rsidRPr="009B25D9">
        <w:t xml:space="preserve">Practices can submit supporting documentation as an attachment to their application through HPOS or </w:t>
      </w:r>
      <w:hyperlink r:id="rId9" w:history="1">
        <w:r w:rsidRPr="004C32F0">
          <w:rPr>
            <w:rStyle w:val="Hyperlink"/>
          </w:rPr>
          <w:t>by fax to Incentiv</w:t>
        </w:r>
        <w:r w:rsidR="00374FE2" w:rsidRPr="004C32F0">
          <w:rPr>
            <w:rStyle w:val="Hyperlink"/>
          </w:rPr>
          <w:t>e</w:t>
        </w:r>
        <w:r w:rsidRPr="004C32F0">
          <w:rPr>
            <w:rStyle w:val="Hyperlink"/>
          </w:rPr>
          <w:t xml:space="preserve"> programs</w:t>
        </w:r>
      </w:hyperlink>
      <w:r w:rsidRPr="009B25D9">
        <w:t>.</w:t>
      </w:r>
    </w:p>
    <w:p w14:paraId="36B7E048" w14:textId="77777777" w:rsidR="00562F88" w:rsidRPr="005273D7" w:rsidRDefault="00562F88" w:rsidP="00562F88">
      <w:r>
        <w:t>Applications</w:t>
      </w:r>
      <w:r w:rsidRPr="005273D7">
        <w:t xml:space="preserve"> must include the name and contact details of an authorised contact person. The contact person must be authorised by the owner of the practice. They will advise us of any changes and will be the person </w:t>
      </w:r>
      <w:r>
        <w:t>we send</w:t>
      </w:r>
      <w:r w:rsidRPr="005273D7">
        <w:t xml:space="preserve"> all correspondence or enquiries to. We can only contact the current owner or authorised contact person.</w:t>
      </w:r>
    </w:p>
    <w:p w14:paraId="7A5DDE74" w14:textId="71BADDF6" w:rsidR="00546EA9" w:rsidRPr="004A609F" w:rsidRDefault="00546EA9" w:rsidP="00546EA9">
      <w:r w:rsidRPr="004A609F">
        <w:t xml:space="preserve">Practices must ensure the information given to us is accurate and current.  </w:t>
      </w:r>
    </w:p>
    <w:p w14:paraId="4E3A95BF" w14:textId="3B378A5C" w:rsidR="00546EA9" w:rsidRPr="005273D7" w:rsidRDefault="00546EA9" w:rsidP="00F53459">
      <w:pPr>
        <w:rPr>
          <w:color w:val="auto"/>
        </w:rPr>
      </w:pPr>
      <w:r w:rsidRPr="005273D7">
        <w:t>Practices must keep a copy of the above documents on practice files</w:t>
      </w:r>
      <w:r w:rsidR="00561BB8">
        <w:t xml:space="preserve"> for at least 6 years</w:t>
      </w:r>
      <w:r w:rsidRPr="005273D7">
        <w:t xml:space="preserve">. </w:t>
      </w:r>
    </w:p>
    <w:p w14:paraId="1BCE2BF4" w14:textId="52C4A6D1" w:rsidR="00546EA9" w:rsidRDefault="00546EA9" w:rsidP="003B7BF0">
      <w:pPr>
        <w:pStyle w:val="Heading2"/>
      </w:pPr>
      <w:bookmarkStart w:id="12" w:name="_Toc490491606"/>
      <w:r>
        <w:t>Application outcome</w:t>
      </w:r>
      <w:bookmarkEnd w:id="12"/>
    </w:p>
    <w:p w14:paraId="1C9D4C90" w14:textId="4A60F0FC" w:rsidR="00546EA9" w:rsidRPr="00546EA9" w:rsidRDefault="00546EA9" w:rsidP="00546EA9">
      <w:r w:rsidRPr="005273D7">
        <w:t>We will assess applications and advise applicants, in writing, of their eligibility</w:t>
      </w:r>
      <w:r w:rsidR="0028424A">
        <w:t xml:space="preserve"> to participate in the P</w:t>
      </w:r>
      <w:r w:rsidR="00D51E1B">
        <w:t>ractice Nurse Incentive Program</w:t>
      </w:r>
      <w:r w:rsidRPr="00546EA9">
        <w:t>. It</w:t>
      </w:r>
      <w:r w:rsidR="006147B0">
        <w:t>’</w:t>
      </w:r>
      <w:r w:rsidRPr="00546EA9">
        <w:t>s the applicant’s responsibility to provide any further information required for an application within 7</w:t>
      </w:r>
      <w:r w:rsidR="0028424A">
        <w:t> </w:t>
      </w:r>
      <w:r w:rsidRPr="00546EA9">
        <w:t>days of receiving the request</w:t>
      </w:r>
      <w:r w:rsidR="0028424A">
        <w:t>.</w:t>
      </w:r>
    </w:p>
    <w:p w14:paraId="3E78D01E" w14:textId="6F023054" w:rsidR="00265D8A" w:rsidRDefault="00BA202B" w:rsidP="003B7BF0">
      <w:pPr>
        <w:pStyle w:val="Heading2"/>
      </w:pPr>
      <w:bookmarkStart w:id="13" w:name="_Toc490491607"/>
      <w:r>
        <w:t>Standardised Whole Patient Equivalent</w:t>
      </w:r>
      <w:bookmarkEnd w:id="13"/>
      <w:r w:rsidR="00265D8A">
        <w:t xml:space="preserve"> </w:t>
      </w:r>
    </w:p>
    <w:p w14:paraId="7A7B6DF9" w14:textId="0A052C3D" w:rsidR="008610A2" w:rsidRPr="00D00456" w:rsidRDefault="008610A2" w:rsidP="00D00456">
      <w:pPr>
        <w:spacing w:line="360" w:lineRule="auto"/>
        <w:ind w:left="607"/>
      </w:pPr>
      <w:r w:rsidRPr="00D00456">
        <w:t>S</w:t>
      </w:r>
      <w:r w:rsidR="00912A3F" w:rsidRPr="00D00456">
        <w:t>tandardised Whole Patient Equivalent (S</w:t>
      </w:r>
      <w:r w:rsidRPr="00D00456">
        <w:t>WPE</w:t>
      </w:r>
      <w:r w:rsidR="00912A3F" w:rsidRPr="00D00456">
        <w:t>)</w:t>
      </w:r>
      <w:r w:rsidRPr="00D00456">
        <w:t xml:space="preserve"> is a calculation of a practice size and is independent of </w:t>
      </w:r>
      <w:r w:rsidR="00DB4B3A">
        <w:t xml:space="preserve">Practice Nurse </w:t>
      </w:r>
      <w:r w:rsidR="00C32438">
        <w:t>I</w:t>
      </w:r>
      <w:r w:rsidR="00DB4B3A">
        <w:t>ncentive Program (</w:t>
      </w:r>
      <w:r w:rsidRPr="00D00456">
        <w:t>PNIP</w:t>
      </w:r>
      <w:r w:rsidR="00DB4B3A">
        <w:t>)</w:t>
      </w:r>
      <w:r w:rsidRPr="00D00456">
        <w:t xml:space="preserve"> eligibility. </w:t>
      </w:r>
    </w:p>
    <w:p w14:paraId="1238C3F0" w14:textId="037EC94D" w:rsidR="008610A2" w:rsidRPr="00D00456" w:rsidRDefault="008610A2" w:rsidP="00D00456">
      <w:pPr>
        <w:spacing w:line="360" w:lineRule="auto"/>
        <w:ind w:left="607"/>
      </w:pPr>
      <w:r w:rsidRPr="00D00456">
        <w:t>The SWPE value is calculated from the sum of fractions of M</w:t>
      </w:r>
      <w:r w:rsidR="00912A3F" w:rsidRPr="00D00456">
        <w:t>edicare Benefits Schedule (M</w:t>
      </w:r>
      <w:r w:rsidRPr="00D00456">
        <w:t>BS</w:t>
      </w:r>
      <w:r w:rsidR="00912A3F" w:rsidRPr="00D00456">
        <w:t>)</w:t>
      </w:r>
      <w:r w:rsidRPr="00D00456">
        <w:t xml:space="preserve"> billed care provided to practice patients by all </w:t>
      </w:r>
      <w:r w:rsidR="0064168B" w:rsidRPr="00D00456">
        <w:t>general practitioners (</w:t>
      </w:r>
      <w:r w:rsidRPr="00D00456">
        <w:t>GPs</w:t>
      </w:r>
      <w:r w:rsidR="0064168B" w:rsidRPr="00D00456">
        <w:t>)</w:t>
      </w:r>
      <w:r w:rsidRPr="00D00456">
        <w:t xml:space="preserve"> in the practice and then weighted for the age and gender of each patient.  </w:t>
      </w:r>
    </w:p>
    <w:p w14:paraId="26C18244" w14:textId="5A4FF9F1" w:rsidR="008610A2" w:rsidRPr="00D00456" w:rsidRDefault="008610A2" w:rsidP="00D00456">
      <w:pPr>
        <w:spacing w:line="360" w:lineRule="auto"/>
        <w:ind w:left="607"/>
      </w:pPr>
      <w:r w:rsidRPr="00D00456">
        <w:t xml:space="preserve">The SWPE value is calculated using a rolling historical 12 month reference period, which </w:t>
      </w:r>
      <w:r w:rsidR="00912A3F" w:rsidRPr="00D00456">
        <w:t>start</w:t>
      </w:r>
      <w:r w:rsidRPr="00D00456">
        <w:t xml:space="preserve">s 16 months </w:t>
      </w:r>
      <w:r w:rsidR="00912A3F" w:rsidRPr="00D00456">
        <w:t>before</w:t>
      </w:r>
      <w:r w:rsidRPr="00D00456">
        <w:t xml:space="preserve"> the payment quarter. </w:t>
      </w:r>
    </w:p>
    <w:p w14:paraId="69BC54BB" w14:textId="57324E39" w:rsidR="0007145A" w:rsidRPr="00AC0F36" w:rsidRDefault="008610A2">
      <w:pPr>
        <w:spacing w:line="360" w:lineRule="auto"/>
        <w:ind w:left="607"/>
      </w:pPr>
      <w:r w:rsidRPr="006A4997">
        <w:t>When a GP joins or leaves a practice, their provider number is added or ended on the practice profile.  The start and end dates of individual GPs working in the practice determine the MBS services included in the practice’s SWPE calculation.</w:t>
      </w:r>
      <w:r w:rsidRPr="004A609F">
        <w:t xml:space="preserve">  </w:t>
      </w:r>
    </w:p>
    <w:p w14:paraId="70619A3F" w14:textId="6AFCC779" w:rsidR="006A4997" w:rsidRPr="004A609F" w:rsidRDefault="006A4997" w:rsidP="00D00456">
      <w:pPr>
        <w:pStyle w:val="h3"/>
        <w:spacing w:before="0" w:after="0" w:line="360" w:lineRule="auto"/>
        <w:ind w:left="596"/>
        <w:rPr>
          <w:rFonts w:ascii="Georgia" w:eastAsiaTheme="majorEastAsia" w:hAnsi="Georgia" w:cstheme="majorBidi"/>
          <w:b w:val="0"/>
          <w:bCs w:val="0"/>
          <w:color w:val="1F4D78" w:themeColor="accent1" w:themeShade="7F"/>
          <w:lang w:val="en-AU" w:eastAsia="en-AU"/>
        </w:rPr>
      </w:pPr>
      <w:r w:rsidRPr="004A609F">
        <w:rPr>
          <w:rFonts w:ascii="Georgia" w:eastAsiaTheme="majorEastAsia" w:hAnsi="Georgia" w:cstheme="majorBidi"/>
          <w:b w:val="0"/>
          <w:bCs w:val="0"/>
          <w:color w:val="1F4D78" w:themeColor="accent1" w:themeShade="7F"/>
          <w:lang w:val="en-AU" w:eastAsia="en-AU"/>
        </w:rPr>
        <w:t>The SWPE value of a practice is calculated in 3 steps</w:t>
      </w:r>
    </w:p>
    <w:p w14:paraId="5C0AD315" w14:textId="3CB39F77" w:rsidR="008610A2" w:rsidRPr="00616E5A" w:rsidRDefault="008610A2" w:rsidP="004A609F">
      <w:pPr>
        <w:pStyle w:val="numberedlist"/>
        <w:numPr>
          <w:ilvl w:val="0"/>
          <w:numId w:val="4"/>
        </w:numPr>
        <w:spacing w:before="0" w:after="0" w:line="360" w:lineRule="auto"/>
        <w:rPr>
          <w:rFonts w:ascii="Times New Roman" w:hAnsi="Times New Roman" w:cs="Times New Roman"/>
          <w:b w:val="0"/>
          <w:bCs w:val="0"/>
          <w:color w:val="auto"/>
          <w:sz w:val="22"/>
          <w:szCs w:val="22"/>
          <w:lang w:val="en-AU"/>
        </w:rPr>
      </w:pPr>
      <w:r w:rsidRPr="004C32F0">
        <w:rPr>
          <w:rFonts w:ascii="Times New Roman" w:hAnsi="Times New Roman" w:cs="Times New Roman"/>
          <w:b w:val="0"/>
          <w:color w:val="auto"/>
          <w:sz w:val="22"/>
          <w:szCs w:val="22"/>
          <w:u w:val="single"/>
          <w:lang w:val="en-AU"/>
        </w:rPr>
        <w:lastRenderedPageBreak/>
        <w:t>Calculation of the Whole Patient Equivalent (WPE) of each patient</w:t>
      </w:r>
    </w:p>
    <w:p w14:paraId="2650ADBD" w14:textId="77777777" w:rsidR="008610A2" w:rsidRPr="00D00456" w:rsidRDefault="008610A2" w:rsidP="00D00456">
      <w:pPr>
        <w:pStyle w:val="body"/>
        <w:spacing w:before="0" w:after="0" w:line="360" w:lineRule="auto"/>
        <w:ind w:left="720"/>
        <w:rPr>
          <w:rFonts w:ascii="Times New Roman" w:hAnsi="Times New Roman" w:cs="Times New Roman"/>
          <w:b w:val="0"/>
          <w:bCs w:val="0"/>
          <w:color w:val="auto"/>
          <w:sz w:val="22"/>
          <w:szCs w:val="22"/>
          <w:lang w:val="en-AU"/>
        </w:rPr>
      </w:pPr>
      <w:r w:rsidRPr="00D00456">
        <w:rPr>
          <w:rFonts w:ascii="Times New Roman" w:hAnsi="Times New Roman" w:cs="Times New Roman"/>
          <w:b w:val="0"/>
          <w:bCs w:val="0"/>
          <w:color w:val="auto"/>
          <w:sz w:val="22"/>
          <w:szCs w:val="22"/>
          <w:lang w:val="en-AU"/>
        </w:rPr>
        <w:t xml:space="preserve">The fraction of care provided by the practice to each patient is calculated. </w:t>
      </w:r>
    </w:p>
    <w:p w14:paraId="4A43F87D" w14:textId="51F965B5" w:rsidR="008610A2" w:rsidRPr="00D00456" w:rsidRDefault="008610A2" w:rsidP="00D00456">
      <w:pPr>
        <w:pStyle w:val="body"/>
        <w:spacing w:before="0" w:after="0" w:line="360" w:lineRule="auto"/>
        <w:ind w:left="720"/>
        <w:rPr>
          <w:rFonts w:ascii="Times New Roman" w:hAnsi="Times New Roman" w:cs="Times New Roman"/>
          <w:sz w:val="22"/>
          <w:szCs w:val="22"/>
        </w:rPr>
      </w:pPr>
      <w:r w:rsidRPr="00D00456">
        <w:rPr>
          <w:rFonts w:ascii="Times New Roman" w:hAnsi="Times New Roman" w:cs="Times New Roman"/>
          <w:b w:val="0"/>
          <w:bCs w:val="0"/>
          <w:color w:val="auto"/>
          <w:sz w:val="22"/>
          <w:szCs w:val="22"/>
          <w:lang w:val="en-AU"/>
        </w:rPr>
        <w:t>For example, in a 12 month period, a patient has $100 in MBS benefits at Practice A and $400 at Practice B, a total of $500:</w:t>
      </w:r>
    </w:p>
    <w:p w14:paraId="2CA09F9D" w14:textId="77777777" w:rsidR="008610A2" w:rsidRPr="00D00456" w:rsidRDefault="008610A2" w:rsidP="004A609F">
      <w:pPr>
        <w:pStyle w:val="bullets"/>
        <w:numPr>
          <w:ilvl w:val="0"/>
          <w:numId w:val="3"/>
        </w:numPr>
        <w:spacing w:before="0" w:after="0" w:line="360" w:lineRule="auto"/>
        <w:rPr>
          <w:rFonts w:ascii="Times New Roman" w:hAnsi="Times New Roman" w:cs="Times New Roman"/>
          <w:sz w:val="22"/>
          <w:szCs w:val="22"/>
        </w:rPr>
      </w:pPr>
      <w:r w:rsidRPr="00D00456">
        <w:rPr>
          <w:rFonts w:ascii="Times New Roman" w:hAnsi="Times New Roman" w:cs="Times New Roman"/>
          <w:b w:val="0"/>
          <w:bCs w:val="0"/>
          <w:color w:val="auto"/>
          <w:sz w:val="22"/>
          <w:szCs w:val="22"/>
          <w:lang w:val="en-AU"/>
        </w:rPr>
        <w:t>Practice A would be assigned with $100 ÷ $500 or 0.2 of the patient</w:t>
      </w:r>
      <w:r w:rsidRPr="00D00456">
        <w:rPr>
          <w:rFonts w:ascii="Times New Roman" w:hAnsi="Times New Roman" w:cs="Times New Roman"/>
          <w:b w:val="0"/>
          <w:bCs w:val="0"/>
          <w:sz w:val="22"/>
          <w:szCs w:val="22"/>
        </w:rPr>
        <w:t>’</w:t>
      </w:r>
      <w:r w:rsidRPr="00D00456">
        <w:rPr>
          <w:rFonts w:ascii="Times New Roman" w:hAnsi="Times New Roman" w:cs="Times New Roman"/>
          <w:b w:val="0"/>
          <w:bCs w:val="0"/>
          <w:color w:val="auto"/>
          <w:sz w:val="22"/>
          <w:szCs w:val="22"/>
          <w:lang w:val="en-AU"/>
        </w:rPr>
        <w:t>s care</w:t>
      </w:r>
      <w:r w:rsidRPr="00D00456">
        <w:rPr>
          <w:rFonts w:ascii="Times New Roman" w:hAnsi="Times New Roman" w:cs="Times New Roman"/>
          <w:b w:val="0"/>
          <w:bCs w:val="0"/>
          <w:sz w:val="22"/>
          <w:szCs w:val="22"/>
        </w:rPr>
        <w:t>.</w:t>
      </w:r>
    </w:p>
    <w:p w14:paraId="1EBD7332" w14:textId="67BFA38C" w:rsidR="008610A2" w:rsidRPr="00D00456" w:rsidRDefault="008610A2" w:rsidP="004A609F">
      <w:pPr>
        <w:pStyle w:val="bullets"/>
        <w:numPr>
          <w:ilvl w:val="0"/>
          <w:numId w:val="3"/>
        </w:numPr>
        <w:spacing w:before="0" w:after="0" w:line="360" w:lineRule="auto"/>
        <w:rPr>
          <w:rFonts w:ascii="Times New Roman" w:hAnsi="Times New Roman" w:cs="Times New Roman"/>
          <w:b w:val="0"/>
          <w:bCs w:val="0"/>
          <w:color w:val="auto"/>
          <w:sz w:val="22"/>
          <w:szCs w:val="22"/>
          <w:lang w:val="en-AU"/>
        </w:rPr>
      </w:pPr>
      <w:r w:rsidRPr="00D00456">
        <w:rPr>
          <w:rFonts w:ascii="Times New Roman" w:hAnsi="Times New Roman" w:cs="Times New Roman"/>
          <w:b w:val="0"/>
          <w:bCs w:val="0"/>
          <w:color w:val="auto"/>
          <w:sz w:val="22"/>
          <w:szCs w:val="22"/>
          <w:lang w:val="en-AU"/>
        </w:rPr>
        <w:t>Practice B would be assigned with $400 ÷ $500 or 0.8 of the patient</w:t>
      </w:r>
      <w:r w:rsidRPr="00D00456">
        <w:rPr>
          <w:rFonts w:ascii="Times New Roman" w:hAnsi="Times New Roman" w:cs="Times New Roman"/>
          <w:b w:val="0"/>
          <w:bCs w:val="0"/>
          <w:sz w:val="22"/>
          <w:szCs w:val="22"/>
        </w:rPr>
        <w:t>’</w:t>
      </w:r>
      <w:r w:rsidRPr="00D00456">
        <w:rPr>
          <w:rFonts w:ascii="Times New Roman" w:hAnsi="Times New Roman" w:cs="Times New Roman"/>
          <w:b w:val="0"/>
          <w:bCs w:val="0"/>
          <w:color w:val="auto"/>
          <w:sz w:val="22"/>
          <w:szCs w:val="22"/>
          <w:lang w:val="en-AU"/>
        </w:rPr>
        <w:t>s care.</w:t>
      </w:r>
    </w:p>
    <w:p w14:paraId="401989B9" w14:textId="3DF2270C" w:rsidR="008610A2" w:rsidRPr="00D00456" w:rsidRDefault="008610A2" w:rsidP="00D00456">
      <w:pPr>
        <w:pStyle w:val="body"/>
        <w:spacing w:before="0" w:after="0" w:line="360" w:lineRule="auto"/>
        <w:ind w:left="720" w:right="624"/>
        <w:rPr>
          <w:rFonts w:ascii="Times New Roman" w:hAnsi="Times New Roman" w:cs="Times New Roman"/>
          <w:sz w:val="22"/>
          <w:szCs w:val="22"/>
        </w:rPr>
      </w:pPr>
      <w:r w:rsidRPr="00D00456">
        <w:rPr>
          <w:rFonts w:ascii="Times New Roman" w:hAnsi="Times New Roman" w:cs="Times New Roman"/>
          <w:b w:val="0"/>
          <w:bCs w:val="0"/>
          <w:color w:val="auto"/>
          <w:sz w:val="22"/>
          <w:szCs w:val="22"/>
          <w:lang w:val="en-AU"/>
        </w:rPr>
        <w:t>The total care for each patient equals one (1.0) and is known as the WPE. The WPE is based on GP and other non-referred consultation items in the MBS and uses the value, rather than the number, of consultations per patient.</w:t>
      </w:r>
    </w:p>
    <w:p w14:paraId="2EC54F22" w14:textId="77777777" w:rsidR="008610A2" w:rsidRPr="004C32F0" w:rsidRDefault="008610A2" w:rsidP="004A609F">
      <w:pPr>
        <w:pStyle w:val="numberedlist"/>
        <w:numPr>
          <w:ilvl w:val="0"/>
          <w:numId w:val="4"/>
        </w:numPr>
        <w:spacing w:before="120" w:after="0" w:line="360" w:lineRule="auto"/>
        <w:rPr>
          <w:rFonts w:ascii="Times New Roman" w:hAnsi="Times New Roman" w:cs="Times New Roman"/>
          <w:b w:val="0"/>
          <w:sz w:val="22"/>
          <w:szCs w:val="22"/>
          <w:u w:val="single"/>
        </w:rPr>
      </w:pPr>
      <w:r w:rsidRPr="004C32F0">
        <w:rPr>
          <w:rFonts w:ascii="Times New Roman" w:hAnsi="Times New Roman" w:cs="Times New Roman"/>
          <w:b w:val="0"/>
          <w:color w:val="auto"/>
          <w:sz w:val="22"/>
          <w:szCs w:val="22"/>
          <w:u w:val="single"/>
          <w:lang w:val="en-AU"/>
        </w:rPr>
        <w:t>Weighting of the WPE</w:t>
      </w:r>
    </w:p>
    <w:p w14:paraId="6B00514E" w14:textId="1B2A7DAD" w:rsidR="008610A2" w:rsidRPr="00D00456" w:rsidRDefault="008610A2" w:rsidP="00D00456">
      <w:pPr>
        <w:pStyle w:val="body"/>
        <w:spacing w:before="120" w:after="0" w:line="360" w:lineRule="auto"/>
        <w:ind w:left="720"/>
      </w:pPr>
      <w:r w:rsidRPr="00D00456">
        <w:rPr>
          <w:rFonts w:ascii="Times New Roman" w:hAnsi="Times New Roman" w:cs="Times New Roman"/>
          <w:b w:val="0"/>
          <w:bCs w:val="0"/>
          <w:color w:val="auto"/>
          <w:sz w:val="22"/>
          <w:szCs w:val="22"/>
          <w:lang w:val="en-AU"/>
        </w:rPr>
        <w:t xml:space="preserve">The WPE is weighted for the age and gender of each patient to become the </w:t>
      </w:r>
      <w:r w:rsidR="00AC0F36">
        <w:rPr>
          <w:rFonts w:ascii="Times New Roman" w:hAnsi="Times New Roman" w:cs="Times New Roman"/>
          <w:b w:val="0"/>
          <w:bCs w:val="0"/>
          <w:color w:val="auto"/>
          <w:sz w:val="22"/>
          <w:szCs w:val="22"/>
          <w:lang w:val="en-AU"/>
        </w:rPr>
        <w:t xml:space="preserve">SWPE. The weighting recognises </w:t>
      </w:r>
      <w:r w:rsidRPr="00D00456">
        <w:rPr>
          <w:rFonts w:ascii="Times New Roman" w:hAnsi="Times New Roman" w:cs="Times New Roman"/>
          <w:b w:val="0"/>
          <w:bCs w:val="0"/>
          <w:color w:val="auto"/>
          <w:sz w:val="22"/>
          <w:szCs w:val="22"/>
          <w:lang w:val="en-AU"/>
        </w:rPr>
        <w:t>people need different amounts of care at different stages in their life and the amount of care differs for males and females. The weighting factors are routinely updated</w:t>
      </w:r>
      <w:r w:rsidR="00946458" w:rsidRPr="00D00456">
        <w:rPr>
          <w:rFonts w:ascii="Times New Roman" w:hAnsi="Times New Roman" w:cs="Times New Roman"/>
          <w:b w:val="0"/>
          <w:bCs w:val="0"/>
          <w:color w:val="auto"/>
          <w:sz w:val="22"/>
          <w:szCs w:val="22"/>
          <w:lang w:val="en-AU"/>
        </w:rPr>
        <w:t>.</w:t>
      </w:r>
    </w:p>
    <w:p w14:paraId="063C0BB6" w14:textId="3FEFC5B6" w:rsidR="008610A2" w:rsidRPr="004C32F0" w:rsidRDefault="008610A2" w:rsidP="004A609F">
      <w:pPr>
        <w:pStyle w:val="numberedlist"/>
        <w:numPr>
          <w:ilvl w:val="0"/>
          <w:numId w:val="4"/>
        </w:numPr>
        <w:spacing w:before="120" w:after="0" w:line="360" w:lineRule="auto"/>
        <w:rPr>
          <w:rFonts w:ascii="Times New Roman" w:hAnsi="Times New Roman" w:cs="Times New Roman"/>
          <w:b w:val="0"/>
          <w:sz w:val="22"/>
          <w:szCs w:val="22"/>
          <w:u w:val="single"/>
        </w:rPr>
      </w:pPr>
      <w:r w:rsidRPr="004C32F0">
        <w:rPr>
          <w:rFonts w:ascii="Times New Roman" w:hAnsi="Times New Roman" w:cs="Times New Roman"/>
          <w:b w:val="0"/>
          <w:color w:val="auto"/>
          <w:sz w:val="22"/>
          <w:szCs w:val="22"/>
          <w:u w:val="single"/>
          <w:lang w:val="en-AU"/>
        </w:rPr>
        <w:t>Total the SWPE</w:t>
      </w:r>
    </w:p>
    <w:p w14:paraId="4899E7A9" w14:textId="2A40ED06" w:rsidR="008610A2" w:rsidRPr="00D00456" w:rsidRDefault="008610A2" w:rsidP="00D00456">
      <w:pPr>
        <w:spacing w:line="360" w:lineRule="auto"/>
        <w:ind w:left="731"/>
      </w:pPr>
      <w:r w:rsidRPr="00D00456">
        <w:t>The individual SWPE values are added together to determine the SWPE value of the practice. When an established practice less than 18 months old joins the PNIP, its historical MBS service level will be used to calculate its SWPE value. Where the true SWPE value is less than 1</w:t>
      </w:r>
      <w:r w:rsidR="00533CA7">
        <w:t>,</w:t>
      </w:r>
      <w:r w:rsidRPr="00D00456">
        <w:t>000, a default SWPE value of 1</w:t>
      </w:r>
      <w:r w:rsidR="00533CA7">
        <w:t>,</w:t>
      </w:r>
      <w:r w:rsidRPr="00D00456">
        <w:t xml:space="preserve">000 will be applied until the practice reaches 18 months when the true SWPE is applied. It is the responsibility of the practice owners to consider the information below in any sale or relocation of the practice. </w:t>
      </w:r>
    </w:p>
    <w:p w14:paraId="53590E1E" w14:textId="17D1CC35" w:rsidR="008610A2" w:rsidRPr="004B1651" w:rsidRDefault="008610A2" w:rsidP="0036652A">
      <w:pPr>
        <w:pStyle w:val="Heading3"/>
      </w:pPr>
      <w:bookmarkStart w:id="14" w:name="_Toc452553071"/>
      <w:bookmarkStart w:id="15" w:name="_Toc490491608"/>
      <w:r w:rsidRPr="004B1651">
        <w:t>Practices without a historical SWPE</w:t>
      </w:r>
      <w:bookmarkEnd w:id="14"/>
      <w:bookmarkEnd w:id="15"/>
    </w:p>
    <w:p w14:paraId="1A7F78EE" w14:textId="4D8E7A2D" w:rsidR="008610A2" w:rsidRPr="00D00456" w:rsidRDefault="008610A2" w:rsidP="00D00456">
      <w:pPr>
        <w:spacing w:line="360" w:lineRule="auto"/>
      </w:pPr>
      <w:r w:rsidRPr="00D00456">
        <w:t>New practices and practices not participating in the PIP will not have a historical SWPE value and will be allocated a start-up SWPE value of 1</w:t>
      </w:r>
      <w:r w:rsidR="00533CA7">
        <w:t>,</w:t>
      </w:r>
      <w:r w:rsidRPr="00D00456">
        <w:t>000. Practices that do not consent to the use of their PIP data will also receive a SWPE value of 1</w:t>
      </w:r>
      <w:r w:rsidR="00533CA7">
        <w:t>,</w:t>
      </w:r>
      <w:r w:rsidRPr="00D00456">
        <w:t xml:space="preserve">000. </w:t>
      </w:r>
    </w:p>
    <w:p w14:paraId="274F08BF" w14:textId="14E18F38" w:rsidR="008610A2" w:rsidRPr="00D00456" w:rsidRDefault="008610A2" w:rsidP="00D00456">
      <w:pPr>
        <w:spacing w:line="360" w:lineRule="auto"/>
      </w:pPr>
      <w:r w:rsidRPr="00D00456">
        <w:t xml:space="preserve">It takes approximately </w:t>
      </w:r>
      <w:r w:rsidR="0064168B" w:rsidRPr="00D00456">
        <w:t>6</w:t>
      </w:r>
      <w:r w:rsidRPr="00D00456">
        <w:t xml:space="preserve"> payment quarters to establish a full SWPE value</w:t>
      </w:r>
      <w:r w:rsidR="0064168B" w:rsidRPr="00D00456">
        <w:t>. This</w:t>
      </w:r>
      <w:r w:rsidRPr="00D00456">
        <w:t xml:space="preserve"> is equivalent to 18 months. The actual SWPE value at the end of this period will then be used to calculate PNIP payments, even if it is l</w:t>
      </w:r>
      <w:r w:rsidR="0064168B" w:rsidRPr="00D00456">
        <w:t xml:space="preserve">ess </w:t>
      </w:r>
      <w:r w:rsidRPr="00D00456">
        <w:t>than 1</w:t>
      </w:r>
      <w:r w:rsidR="00A93998">
        <w:t>,</w:t>
      </w:r>
      <w:r w:rsidRPr="00D00456">
        <w:t>000. If the practice’s SWPE value is more than 1</w:t>
      </w:r>
      <w:r w:rsidR="00A93998">
        <w:t>,</w:t>
      </w:r>
      <w:r w:rsidRPr="00D00456">
        <w:t xml:space="preserve">000, the actual SWPE value will be used to calculate payments. </w:t>
      </w:r>
    </w:p>
    <w:p w14:paraId="1E0F4967" w14:textId="1B6BDAFB" w:rsidR="008610A2" w:rsidRPr="00D00456" w:rsidRDefault="008610A2" w:rsidP="00D00456">
      <w:pPr>
        <w:spacing w:line="360" w:lineRule="auto"/>
      </w:pPr>
      <w:r w:rsidRPr="00D00456">
        <w:t xml:space="preserve">For practices joining </w:t>
      </w:r>
      <w:r w:rsidR="004825B5">
        <w:t xml:space="preserve">the </w:t>
      </w:r>
      <w:r w:rsidRPr="00D00456">
        <w:t xml:space="preserve">PNIP who give consent for their PIP practice information to be used for the purposes of </w:t>
      </w:r>
      <w:r w:rsidR="004825B5">
        <w:t xml:space="preserve">the </w:t>
      </w:r>
      <w:r w:rsidRPr="00D00456">
        <w:t>PNIP</w:t>
      </w:r>
      <w:r w:rsidR="0064168B" w:rsidRPr="00D00456">
        <w:t xml:space="preserve">, </w:t>
      </w:r>
      <w:r w:rsidRPr="00D00456">
        <w:t>the</w:t>
      </w:r>
      <w:r w:rsidR="0064168B" w:rsidRPr="00D00456">
        <w:t>y</w:t>
      </w:r>
      <w:r w:rsidRPr="00D00456">
        <w:t xml:space="preserve"> will be allocated a start-up SWPE value of 1</w:t>
      </w:r>
      <w:r w:rsidR="00A93998">
        <w:t>,</w:t>
      </w:r>
      <w:r w:rsidRPr="00D00456">
        <w:t xml:space="preserve">000 for the remaining payment quarters outside of the period the practice has been participating in the PIP, within the </w:t>
      </w:r>
      <w:r w:rsidR="0064168B" w:rsidRPr="00D00456">
        <w:t>6</w:t>
      </w:r>
      <w:r w:rsidRPr="00D00456">
        <w:t xml:space="preserve"> payment quarters.  For example:</w:t>
      </w:r>
    </w:p>
    <w:p w14:paraId="4B7FA8DE" w14:textId="16C1B2FC" w:rsidR="008610A2" w:rsidRPr="00D00456" w:rsidRDefault="008610A2" w:rsidP="004A609F">
      <w:pPr>
        <w:pStyle w:val="ListParagraph"/>
        <w:numPr>
          <w:ilvl w:val="0"/>
          <w:numId w:val="14"/>
        </w:numPr>
        <w:spacing w:line="360" w:lineRule="auto"/>
      </w:pPr>
      <w:r w:rsidRPr="00D00456">
        <w:t xml:space="preserve">if a practice joins </w:t>
      </w:r>
      <w:r w:rsidR="004825B5">
        <w:t xml:space="preserve">the </w:t>
      </w:r>
      <w:r w:rsidRPr="00D00456">
        <w:t xml:space="preserve">PNIP today as a PIP consenting practice and they have already been participating in PIP for 12 months, these 12 months will count as the first </w:t>
      </w:r>
      <w:r w:rsidR="0064168B" w:rsidRPr="00D00456">
        <w:t>4</w:t>
      </w:r>
      <w:r w:rsidRPr="00D00456">
        <w:t xml:space="preserve"> payment quarters that the practice has been allowed to build a SWPE value and they will only be allocated a start-up SWPE of 1</w:t>
      </w:r>
      <w:r w:rsidR="00A93998">
        <w:t>,</w:t>
      </w:r>
      <w:r w:rsidRPr="00D00456">
        <w:t xml:space="preserve">000 for a further 2 payment quarters. If the SWPE value in PIP is </w:t>
      </w:r>
      <w:r w:rsidR="0064168B" w:rsidRPr="00D00456">
        <w:t>more</w:t>
      </w:r>
      <w:r w:rsidRPr="00D00456">
        <w:t xml:space="preserve"> than 1</w:t>
      </w:r>
      <w:r w:rsidR="00A93998">
        <w:t>,</w:t>
      </w:r>
      <w:r w:rsidRPr="00D00456">
        <w:t>000, the true SWPE will be allocated immediately</w:t>
      </w:r>
      <w:r w:rsidR="00F53459">
        <w:t>,</w:t>
      </w:r>
      <w:r w:rsidRPr="00D00456">
        <w:t xml:space="preserve"> or</w:t>
      </w:r>
    </w:p>
    <w:p w14:paraId="3271D141" w14:textId="782C2F91" w:rsidR="008610A2" w:rsidRPr="00D00456" w:rsidRDefault="008610A2" w:rsidP="004A609F">
      <w:pPr>
        <w:pStyle w:val="ListParagraph"/>
        <w:numPr>
          <w:ilvl w:val="0"/>
          <w:numId w:val="14"/>
        </w:numPr>
        <w:spacing w:line="360" w:lineRule="auto"/>
      </w:pPr>
      <w:r w:rsidRPr="00D00456">
        <w:lastRenderedPageBreak/>
        <w:t xml:space="preserve">if a practice joins </w:t>
      </w:r>
      <w:r w:rsidR="004825B5">
        <w:t xml:space="preserve">the </w:t>
      </w:r>
      <w:r w:rsidRPr="00D00456">
        <w:t>PNIP as a PIP consenting practice and the practice has been in PIP for 2 years or more, the practice will be allocated the true SWPE</w:t>
      </w:r>
    </w:p>
    <w:p w14:paraId="53757DDC" w14:textId="5229BEE4" w:rsidR="008610A2" w:rsidRPr="004B1651" w:rsidRDefault="008610A2" w:rsidP="00D00456">
      <w:pPr>
        <w:spacing w:line="360" w:lineRule="auto"/>
      </w:pPr>
      <w:r w:rsidRPr="004B1651">
        <w:t xml:space="preserve">The SWPE values for </w:t>
      </w:r>
      <w:r>
        <w:t xml:space="preserve">an AMS </w:t>
      </w:r>
      <w:r w:rsidRPr="004B1651">
        <w:t xml:space="preserve">and </w:t>
      </w:r>
      <w:r>
        <w:t>ACCHS</w:t>
      </w:r>
      <w:r w:rsidRPr="004B1651">
        <w:t xml:space="preserve"> will be increased by </w:t>
      </w:r>
      <w:r w:rsidR="0064168B">
        <w:t>50%</w:t>
      </w:r>
    </w:p>
    <w:p w14:paraId="5D6A3331" w14:textId="068A3CFD" w:rsidR="008610A2" w:rsidRPr="004B1651" w:rsidRDefault="008610A2" w:rsidP="0036652A">
      <w:pPr>
        <w:pStyle w:val="Heading3"/>
      </w:pPr>
      <w:bookmarkStart w:id="16" w:name="_Toc437932760"/>
      <w:bookmarkStart w:id="17" w:name="_Toc452553072"/>
      <w:bookmarkStart w:id="18" w:name="_Toc490491609"/>
      <w:r w:rsidRPr="004B1651">
        <w:t>Transferring a SWPE Value</w:t>
      </w:r>
      <w:bookmarkEnd w:id="16"/>
      <w:bookmarkEnd w:id="17"/>
      <w:bookmarkEnd w:id="18"/>
      <w:r w:rsidRPr="004B1651">
        <w:t xml:space="preserve">    </w:t>
      </w:r>
    </w:p>
    <w:p w14:paraId="4E3AC993" w14:textId="77777777" w:rsidR="008610A2" w:rsidRPr="00D00456" w:rsidRDefault="008610A2" w:rsidP="00D00456">
      <w:pPr>
        <w:ind w:left="685"/>
      </w:pPr>
      <w:r w:rsidRPr="00D00456">
        <w:t>A SWPE value can be transferred in the following situations:</w:t>
      </w:r>
    </w:p>
    <w:p w14:paraId="4053E006" w14:textId="0522B28B" w:rsidR="008610A2" w:rsidRPr="00D00456" w:rsidRDefault="008610A2" w:rsidP="004A609F">
      <w:pPr>
        <w:pStyle w:val="ListParagraph"/>
        <w:numPr>
          <w:ilvl w:val="0"/>
          <w:numId w:val="11"/>
        </w:numPr>
        <w:spacing w:before="0" w:after="0" w:line="360" w:lineRule="auto"/>
        <w:ind w:left="1348" w:right="0"/>
      </w:pPr>
      <w:r w:rsidRPr="00D00456">
        <w:t>The practice is sold</w:t>
      </w:r>
      <w:r w:rsidR="00B51B81" w:rsidRPr="00D00456">
        <w:t>,</w:t>
      </w:r>
      <w:r w:rsidRPr="00D00456">
        <w:t xml:space="preserve"> remains open in the original physical location</w:t>
      </w:r>
      <w:r w:rsidR="00B51B81" w:rsidRPr="00D00456">
        <w:t xml:space="preserve"> and the </w:t>
      </w:r>
      <w:r w:rsidR="00AE3956" w:rsidRPr="00D00456">
        <w:t xml:space="preserve">accreditation </w:t>
      </w:r>
      <w:r w:rsidR="00B51B81" w:rsidRPr="00D00456">
        <w:t>has been included in the sale of the practice</w:t>
      </w:r>
      <w:r w:rsidRPr="00D00456">
        <w:t xml:space="preserve">. In this situation the SWPE value will transfer to the new owners and remain at the original location regardless of if the original owners establish a new practice in the same local area. </w:t>
      </w:r>
    </w:p>
    <w:p w14:paraId="6CC614ED" w14:textId="77777777" w:rsidR="008610A2" w:rsidRPr="00D00456" w:rsidRDefault="008610A2" w:rsidP="004A609F">
      <w:pPr>
        <w:pStyle w:val="ListParagraph"/>
        <w:numPr>
          <w:ilvl w:val="0"/>
          <w:numId w:val="11"/>
        </w:numPr>
        <w:spacing w:before="0" w:after="0" w:line="360" w:lineRule="auto"/>
        <w:ind w:left="1348" w:right="0"/>
      </w:pPr>
      <w:r w:rsidRPr="00D00456">
        <w:t xml:space="preserve">The practice is not sold but is relocated to a different physical location within the same local area. In this situation the SWPE value will be transferred to the new physical location. </w:t>
      </w:r>
    </w:p>
    <w:p w14:paraId="061DC4A2" w14:textId="77777777" w:rsidR="008610A2" w:rsidRPr="00D00456" w:rsidRDefault="008610A2" w:rsidP="004A609F">
      <w:pPr>
        <w:pStyle w:val="ListParagraph"/>
        <w:numPr>
          <w:ilvl w:val="0"/>
          <w:numId w:val="11"/>
        </w:numPr>
        <w:spacing w:before="0" w:after="0" w:line="360" w:lineRule="auto"/>
        <w:ind w:left="1348" w:right="0"/>
      </w:pPr>
      <w:r w:rsidRPr="00D00456">
        <w:t>When two or more practices from the same local area amalgamate. In this situation the SWPE of the amalgamated practice will equal the sum of the SWPE values for each original practice.</w:t>
      </w:r>
    </w:p>
    <w:p w14:paraId="3F0D2A22" w14:textId="77777777" w:rsidR="008610A2" w:rsidRPr="00D00456" w:rsidRDefault="008610A2" w:rsidP="00D00456">
      <w:pPr>
        <w:pStyle w:val="ListParagraph"/>
        <w:ind w:left="1348"/>
      </w:pPr>
    </w:p>
    <w:p w14:paraId="7716256D" w14:textId="77777777" w:rsidR="008610A2" w:rsidRPr="00D00456" w:rsidRDefault="008610A2" w:rsidP="00D00456">
      <w:pPr>
        <w:ind w:left="685"/>
      </w:pPr>
      <w:r w:rsidRPr="00D00456">
        <w:t>In all other situations practices will need to apply for the PNIP as a new practice and establish a new SWPE value.  In all circumstances practices must continually meet all PNIP requirements, including accreditation, to remain eligible to receive PNIP payments.</w:t>
      </w:r>
    </w:p>
    <w:p w14:paraId="27A6C6F4" w14:textId="09C53917" w:rsidR="008610A2" w:rsidRPr="00F2549C" w:rsidRDefault="008610A2" w:rsidP="0036652A">
      <w:pPr>
        <w:pStyle w:val="Heading3"/>
      </w:pPr>
      <w:bookmarkStart w:id="19" w:name="_Toc452553073"/>
      <w:bookmarkStart w:id="20" w:name="_Toc490491610"/>
      <w:r w:rsidRPr="00EA3682">
        <w:t>Practice</w:t>
      </w:r>
      <w:r>
        <w:t xml:space="preserve"> </w:t>
      </w:r>
      <w:r w:rsidRPr="00EA3682">
        <w:t>amalgamation</w:t>
      </w:r>
      <w:bookmarkEnd w:id="19"/>
      <w:bookmarkEnd w:id="20"/>
    </w:p>
    <w:p w14:paraId="442B37F6" w14:textId="77777777" w:rsidR="008610A2" w:rsidRPr="00D00456" w:rsidRDefault="008610A2" w:rsidP="00D00456">
      <w:r w:rsidRPr="00D00456">
        <w:t>For the purposes of the PNIP, Health defines an amalgamation as:</w:t>
      </w:r>
    </w:p>
    <w:p w14:paraId="53954FE6" w14:textId="50AB2332" w:rsidR="008610A2" w:rsidRPr="00D00456" w:rsidRDefault="00A22603" w:rsidP="004A609F">
      <w:pPr>
        <w:ind w:left="714" w:firstLine="0"/>
      </w:pPr>
      <w:r>
        <w:t>‘</w:t>
      </w:r>
      <w:r w:rsidR="008610A2" w:rsidRPr="004A609F">
        <w:t>two or more practices coming together into one common location and sharing access to all patient records, belonging to each of the previously individual practices, and the closure of the remaining original location(s)</w:t>
      </w:r>
      <w:r>
        <w:t>’</w:t>
      </w:r>
      <w:r w:rsidR="008610A2" w:rsidRPr="004A609F">
        <w:t>.</w:t>
      </w:r>
    </w:p>
    <w:p w14:paraId="22271601" w14:textId="507226AE" w:rsidR="008610A2" w:rsidRPr="00D00456" w:rsidRDefault="008610A2" w:rsidP="00D00456">
      <w:r w:rsidRPr="00D00456">
        <w:t xml:space="preserve">The closed location(s) will not receive a payment for the quarter </w:t>
      </w:r>
      <w:r w:rsidR="00495AAC" w:rsidRPr="00D00456">
        <w:t>in</w:t>
      </w:r>
      <w:r w:rsidRPr="00D00456">
        <w:t xml:space="preserve"> which the practice amalgamation occurs. The average health professional hours of the closed practice may be transferred to the new amalgamated practice for the current payment quarter only. The amalgamated practice would then report the actual standard weekly hours for subsequent quarters.</w:t>
      </w:r>
    </w:p>
    <w:p w14:paraId="5083E9F9" w14:textId="77777777" w:rsidR="008610A2" w:rsidRDefault="008610A2" w:rsidP="008610A2">
      <w:pPr>
        <w:pStyle w:val="body"/>
        <w:spacing w:before="0" w:after="0"/>
        <w:rPr>
          <w:rFonts w:asciiTheme="majorHAnsi" w:hAnsiTheme="majorHAnsi" w:cs="Arial"/>
          <w:sz w:val="24"/>
          <w:szCs w:val="24"/>
        </w:rPr>
      </w:pPr>
    </w:p>
    <w:p w14:paraId="6FB3C57A" w14:textId="77777777" w:rsidR="008610A2" w:rsidRPr="00D00456" w:rsidRDefault="008610A2" w:rsidP="00D00456">
      <w:pPr>
        <w:pStyle w:val="body"/>
        <w:spacing w:before="0" w:after="0"/>
        <w:ind w:left="714"/>
        <w:rPr>
          <w:rFonts w:ascii="Times New Roman" w:eastAsia="Times New Roman" w:hAnsi="Times New Roman" w:cs="Times New Roman"/>
          <w:bCs w:val="0"/>
          <w:color w:val="333333"/>
          <w:sz w:val="22"/>
          <w:szCs w:val="22"/>
          <w:lang w:val="en-AU" w:eastAsia="en-AU"/>
        </w:rPr>
      </w:pPr>
      <w:r w:rsidRPr="00D00456">
        <w:rPr>
          <w:rFonts w:ascii="Times New Roman" w:eastAsia="Times New Roman" w:hAnsi="Times New Roman" w:cs="Times New Roman"/>
          <w:bCs w:val="0"/>
          <w:color w:val="333333"/>
          <w:sz w:val="22"/>
          <w:szCs w:val="22"/>
          <w:lang w:val="en-AU" w:eastAsia="en-AU"/>
        </w:rPr>
        <w:t>Example:</w:t>
      </w:r>
    </w:p>
    <w:p w14:paraId="01B93BF3" w14:textId="00264EB3" w:rsidR="008610A2" w:rsidRPr="00D00456" w:rsidRDefault="008610A2" w:rsidP="00D00456">
      <w:r w:rsidRPr="00D00456">
        <w:t xml:space="preserve">Practice A amalgamated with Practice B on 6 April 2016 (Practice B is to become the new amalgamated practice). The average Registered Nurse hours from Practice A of 23 hours (30 standard weekly contracted hours per week X 10 weeks (1 February – 6 April 2016) divided by 13 (weeks in payment quarter) will be merged with Practice B.  Standard weekly contracted hours per week for Practice B are 20 hours per week. Once the hours are transferred from Practice A, the total standard weekly contracted hours per week for Practice B (newly amalgamated practice) will be 43 hours per week for the 1 February to 30 April 2016 quarter. Actual standard weekly hours will apply for subsequent quarters. </w:t>
      </w:r>
    </w:p>
    <w:p w14:paraId="3A3D7D65" w14:textId="77777777" w:rsidR="008610A2" w:rsidRPr="00D00456" w:rsidRDefault="008610A2" w:rsidP="00D00456">
      <w:r w:rsidRPr="00D00456">
        <w:t>The SWPE value of a practice may be transferred to the amalgamated practice when:</w:t>
      </w:r>
    </w:p>
    <w:p w14:paraId="6400544C" w14:textId="58A5CE1E" w:rsidR="008610A2" w:rsidRPr="00D00456" w:rsidRDefault="008610A2" w:rsidP="004A609F">
      <w:pPr>
        <w:pStyle w:val="ListParagraph"/>
        <w:numPr>
          <w:ilvl w:val="0"/>
          <w:numId w:val="13"/>
        </w:numPr>
      </w:pPr>
      <w:r w:rsidRPr="00D00456">
        <w:t>the original and final locations of the amalgamating practices are within the local area</w:t>
      </w:r>
      <w:r w:rsidR="00F53459">
        <w:t>,</w:t>
      </w:r>
      <w:r w:rsidRPr="00D00456">
        <w:t xml:space="preserve"> and</w:t>
      </w:r>
    </w:p>
    <w:p w14:paraId="7DC10219" w14:textId="38498E8A" w:rsidR="008610A2" w:rsidRPr="00D00456" w:rsidRDefault="008610A2" w:rsidP="004A609F">
      <w:pPr>
        <w:pStyle w:val="ListParagraph"/>
        <w:numPr>
          <w:ilvl w:val="0"/>
          <w:numId w:val="13"/>
        </w:numPr>
      </w:pPr>
      <w:r w:rsidRPr="00D00456">
        <w:lastRenderedPageBreak/>
        <w:t>another practice is not operating from any of the original location(s) at the point- in-time after the amalgamation</w:t>
      </w:r>
    </w:p>
    <w:p w14:paraId="228959EE" w14:textId="78EE126E" w:rsidR="008610A2" w:rsidRPr="00D00456" w:rsidRDefault="008610A2" w:rsidP="00D00456">
      <w:r w:rsidRPr="00D00456">
        <w:t xml:space="preserve">If the amalgamated practice meets the above requirements, the SWPE values of the original practices will be added together to form the new SWPE value of the amalgamated practice. </w:t>
      </w:r>
    </w:p>
    <w:p w14:paraId="0A4BB171" w14:textId="77777777" w:rsidR="008610A2" w:rsidRPr="00D00456" w:rsidRDefault="008610A2" w:rsidP="00D00456">
      <w:r w:rsidRPr="00D00456">
        <w:t xml:space="preserve">If the amalgamated practice does not meet the above requirements, the practice will need to apply for the PNIP as a new practice and establish a historical SWPE value (see Practices without an historical SWPE). However, if one (or more) of the amalgamating practices is situated outside the local area, the SWPE value of the practice originally on site at the final location is maintained. </w:t>
      </w:r>
    </w:p>
    <w:p w14:paraId="14E2F573" w14:textId="46F750F9" w:rsidR="008610A2" w:rsidRPr="00F2549C" w:rsidRDefault="008610A2" w:rsidP="0036652A">
      <w:pPr>
        <w:pStyle w:val="Heading3"/>
      </w:pPr>
      <w:bookmarkStart w:id="21" w:name="_Toc437932762"/>
      <w:bookmarkStart w:id="22" w:name="_Toc452553074"/>
      <w:bookmarkStart w:id="23" w:name="_Toc490491611"/>
      <w:r w:rsidRPr="00FF565A">
        <w:t>Relocation</w:t>
      </w:r>
      <w:bookmarkEnd w:id="21"/>
      <w:bookmarkEnd w:id="22"/>
      <w:bookmarkEnd w:id="23"/>
    </w:p>
    <w:p w14:paraId="61EEF57F" w14:textId="77777777" w:rsidR="008610A2" w:rsidRPr="00D00456" w:rsidRDefault="008610A2" w:rsidP="00D00456">
      <w:r w:rsidRPr="00D00456">
        <w:t>The SWPE value of a practice may be transferred when an original practice relocates and:</w:t>
      </w:r>
    </w:p>
    <w:p w14:paraId="274CF63C" w14:textId="43DC818F" w:rsidR="008610A2" w:rsidRPr="00D00456" w:rsidRDefault="008610A2" w:rsidP="004A609F">
      <w:pPr>
        <w:pStyle w:val="ListParagraph"/>
        <w:numPr>
          <w:ilvl w:val="0"/>
          <w:numId w:val="12"/>
        </w:numPr>
      </w:pPr>
      <w:r w:rsidRPr="00D00456">
        <w:t>the original and final locations are within the local area</w:t>
      </w:r>
    </w:p>
    <w:p w14:paraId="4E8F2141" w14:textId="7D631413" w:rsidR="008610A2" w:rsidRPr="00D00456" w:rsidRDefault="008610A2" w:rsidP="004A609F">
      <w:pPr>
        <w:pStyle w:val="ListParagraph"/>
        <w:numPr>
          <w:ilvl w:val="0"/>
          <w:numId w:val="12"/>
        </w:numPr>
      </w:pPr>
      <w:r w:rsidRPr="00D00456">
        <w:t>another practice is not operating from the original location</w:t>
      </w:r>
      <w:r w:rsidR="00F53459">
        <w:t>, and</w:t>
      </w:r>
    </w:p>
    <w:p w14:paraId="47AB7E98" w14:textId="6C80AB42" w:rsidR="008610A2" w:rsidRPr="00D00456" w:rsidRDefault="008610A2" w:rsidP="004C32F0">
      <w:pPr>
        <w:pStyle w:val="ListParagraph"/>
        <w:numPr>
          <w:ilvl w:val="0"/>
          <w:numId w:val="12"/>
        </w:numPr>
      </w:pPr>
      <w:r w:rsidRPr="00D00456">
        <w:t>the patient base remains the same and all patient records are held with the relocated practice</w:t>
      </w:r>
    </w:p>
    <w:p w14:paraId="192468A2" w14:textId="503553EF" w:rsidR="008610A2" w:rsidRPr="00D00456" w:rsidRDefault="008610A2" w:rsidP="00D00456">
      <w:r w:rsidRPr="00D00456">
        <w:t xml:space="preserve">If the relocated practice does not meet these requirements, the practice will need to apply for the PNIP as a new practice and establish a SWPE value. The original practice will not receive a payment for the quarter </w:t>
      </w:r>
      <w:r w:rsidR="00495AAC" w:rsidRPr="00D00456">
        <w:t>in</w:t>
      </w:r>
      <w:r w:rsidRPr="00D00456">
        <w:t xml:space="preserve"> which the practice relocation occurs.</w:t>
      </w:r>
    </w:p>
    <w:p w14:paraId="24CED968" w14:textId="56CCB702" w:rsidR="008610A2" w:rsidRPr="005229B3" w:rsidRDefault="008610A2" w:rsidP="0036652A">
      <w:pPr>
        <w:pStyle w:val="Heading3"/>
      </w:pPr>
      <w:bookmarkStart w:id="24" w:name="_Toc437932763"/>
      <w:bookmarkStart w:id="25" w:name="_Toc452553075"/>
      <w:bookmarkStart w:id="26" w:name="_Toc490491612"/>
      <w:r w:rsidRPr="00B40069">
        <w:t>Change</w:t>
      </w:r>
      <w:r w:rsidRPr="004B1651">
        <w:t xml:space="preserve"> </w:t>
      </w:r>
      <w:r w:rsidRPr="00B40069">
        <w:t>of ownership</w:t>
      </w:r>
      <w:bookmarkEnd w:id="24"/>
      <w:bookmarkEnd w:id="25"/>
      <w:bookmarkEnd w:id="26"/>
    </w:p>
    <w:p w14:paraId="2E773A5B" w14:textId="72D4CA92" w:rsidR="008610A2" w:rsidRPr="00D00456" w:rsidRDefault="00AE3956" w:rsidP="00D00456">
      <w:r w:rsidRPr="00D00456">
        <w:t xml:space="preserve">If a </w:t>
      </w:r>
      <w:r w:rsidR="008610A2" w:rsidRPr="00D00456">
        <w:t>full change of ownership of a practice</w:t>
      </w:r>
      <w:r w:rsidRPr="00D00456">
        <w:t xml:space="preserve"> has happened</w:t>
      </w:r>
      <w:r w:rsidR="008610A2" w:rsidRPr="00D00456">
        <w:t>, the SWPE value of the practice remains with the location. It</w:t>
      </w:r>
      <w:r w:rsidR="004825B5">
        <w:t>’</w:t>
      </w:r>
      <w:r w:rsidR="008610A2" w:rsidRPr="00D00456">
        <w:t xml:space="preserve">s the practice’s responsibility to make sure </w:t>
      </w:r>
      <w:r w:rsidRPr="00D00456">
        <w:t xml:space="preserve">accreditation is taken into account if the practice wants to use the historical </w:t>
      </w:r>
      <w:r w:rsidR="008610A2" w:rsidRPr="00D00456">
        <w:t>SWPE value of the practice.</w:t>
      </w:r>
    </w:p>
    <w:p w14:paraId="1CF44B63" w14:textId="1F370282" w:rsidR="00B62FF8" w:rsidRDefault="00CF5486" w:rsidP="003B7BF0">
      <w:pPr>
        <w:pStyle w:val="Heading2"/>
      </w:pPr>
      <w:bookmarkStart w:id="27" w:name="_Toc490491613"/>
      <w:r>
        <w:t>P</w:t>
      </w:r>
      <w:r w:rsidR="000222AC">
        <w:t>ayment types</w:t>
      </w:r>
      <w:bookmarkEnd w:id="27"/>
    </w:p>
    <w:p w14:paraId="45217026" w14:textId="0052056D" w:rsidR="00265D8A" w:rsidRDefault="00265D8A" w:rsidP="00BE3886">
      <w:r>
        <w:t xml:space="preserve">There are </w:t>
      </w:r>
      <w:r w:rsidR="008610A2">
        <w:t>4</w:t>
      </w:r>
      <w:r>
        <w:t xml:space="preserve"> payments available under the P</w:t>
      </w:r>
      <w:r w:rsidR="00D51E1B">
        <w:t>ractice Nurse Incentive Program (P</w:t>
      </w:r>
      <w:r>
        <w:t>NIP</w:t>
      </w:r>
      <w:r w:rsidR="00D51E1B">
        <w:t>)</w:t>
      </w:r>
      <w:r>
        <w:t>:</w:t>
      </w:r>
    </w:p>
    <w:p w14:paraId="1C103444" w14:textId="42ED07BD" w:rsidR="00265D8A" w:rsidRDefault="00265D8A" w:rsidP="00BE3886">
      <w:pPr>
        <w:pStyle w:val="PNIPbullets"/>
      </w:pPr>
      <w:r>
        <w:t>incentive payment</w:t>
      </w:r>
      <w:r w:rsidR="00AE246E">
        <w:t>s</w:t>
      </w:r>
    </w:p>
    <w:p w14:paraId="2AC3C80D" w14:textId="65A6CE88" w:rsidR="00265D8A" w:rsidRDefault="00AE246E" w:rsidP="00BE3886">
      <w:pPr>
        <w:pStyle w:val="PNIPbullets"/>
      </w:pPr>
      <w:r>
        <w:t xml:space="preserve">an </w:t>
      </w:r>
      <w:r w:rsidR="00265D8A">
        <w:t>accreditation assistance payment</w:t>
      </w:r>
    </w:p>
    <w:p w14:paraId="13A648FE" w14:textId="11A72805" w:rsidR="00AE246E" w:rsidRDefault="00265D8A" w:rsidP="00AE246E">
      <w:pPr>
        <w:pStyle w:val="PNIPbullets"/>
      </w:pPr>
      <w:r>
        <w:t>the Department of Veterans’ Affairs</w:t>
      </w:r>
      <w:r w:rsidR="007E47BA">
        <w:t xml:space="preserve"> (DVA)</w:t>
      </w:r>
      <w:r w:rsidR="00374FE2">
        <w:t xml:space="preserve"> loading payments</w:t>
      </w:r>
      <w:r w:rsidR="00D510FE">
        <w:t>,</w:t>
      </w:r>
      <w:r>
        <w:t xml:space="preserve"> </w:t>
      </w:r>
      <w:r w:rsidR="00FE71DD">
        <w:t xml:space="preserve">and </w:t>
      </w:r>
    </w:p>
    <w:p w14:paraId="3F05939A" w14:textId="5CE838F0" w:rsidR="008610A2" w:rsidRDefault="008610A2" w:rsidP="00AE246E">
      <w:pPr>
        <w:pStyle w:val="PNIPbullets"/>
      </w:pPr>
      <w:r>
        <w:t>Rural loading payment</w:t>
      </w:r>
      <w:r w:rsidR="00D510FE">
        <w:t>s</w:t>
      </w:r>
    </w:p>
    <w:p w14:paraId="2DFED3DA" w14:textId="45479A83" w:rsidR="00AE246E" w:rsidRPr="00265D8A" w:rsidRDefault="00AE246E" w:rsidP="00AE246E">
      <w:r w:rsidRPr="00AE246E">
        <w:t>PNIP payments are made electronically to the nomin</w:t>
      </w:r>
      <w:r>
        <w:t>ated account and don’t attract goods and services t</w:t>
      </w:r>
      <w:r w:rsidRPr="00AE246E">
        <w:t>ax</w:t>
      </w:r>
      <w:r>
        <w:t xml:space="preserve"> (GST)</w:t>
      </w:r>
      <w:r w:rsidRPr="00AE246E">
        <w:t>.</w:t>
      </w:r>
    </w:p>
    <w:p w14:paraId="62FCE68F" w14:textId="77777777" w:rsidR="00B62FF8" w:rsidRDefault="00302EA3" w:rsidP="0036652A">
      <w:pPr>
        <w:pStyle w:val="Heading3"/>
      </w:pPr>
      <w:bookmarkStart w:id="28" w:name="_Toc490491614"/>
      <w:r>
        <w:t>Incentive payment</w:t>
      </w:r>
      <w:bookmarkEnd w:id="28"/>
    </w:p>
    <w:p w14:paraId="1B25F4BC" w14:textId="54B6FDEA" w:rsidR="00B62FF8" w:rsidRDefault="00302EA3" w:rsidP="00BE3886">
      <w:r>
        <w:t xml:space="preserve">The incentive payment </w:t>
      </w:r>
      <w:r w:rsidR="004825B5">
        <w:t xml:space="preserve">amount </w:t>
      </w:r>
      <w:r>
        <w:t xml:space="preserve">a general practice </w:t>
      </w:r>
      <w:r w:rsidR="00265D8A">
        <w:t>gets</w:t>
      </w:r>
      <w:r>
        <w:t xml:space="preserve"> depend</w:t>
      </w:r>
      <w:r w:rsidR="00265D8A">
        <w:t>s</w:t>
      </w:r>
      <w:r>
        <w:t xml:space="preserve"> on the practice’s S</w:t>
      </w:r>
      <w:r w:rsidR="00D51E1B">
        <w:t xml:space="preserve">tandardised Whole </w:t>
      </w:r>
      <w:r w:rsidR="00D51E1B" w:rsidRPr="001A1598">
        <w:t>Patient Equivalent (S</w:t>
      </w:r>
      <w:r w:rsidRPr="001A1598">
        <w:t>WPE</w:t>
      </w:r>
      <w:r w:rsidR="00D51E1B" w:rsidRPr="001A1598">
        <w:t>)</w:t>
      </w:r>
      <w:r w:rsidRPr="001A1598">
        <w:t xml:space="preserve"> value and the hours worked by </w:t>
      </w:r>
      <w:r w:rsidR="00FE71DD" w:rsidRPr="001A1598">
        <w:t xml:space="preserve">the health professionals </w:t>
      </w:r>
      <w:r w:rsidRPr="001A1598">
        <w:t>at the practice.</w:t>
      </w:r>
    </w:p>
    <w:p w14:paraId="3C249759" w14:textId="66ED2C2E" w:rsidR="001A1598" w:rsidRPr="003E1DD8" w:rsidRDefault="0060124C" w:rsidP="00BE3886">
      <w:r w:rsidRPr="003E1DD8">
        <w:t>A practice may be eligible to receive incentive payments of:</w:t>
      </w:r>
    </w:p>
    <w:p w14:paraId="70AE5F51" w14:textId="384ECD87" w:rsidR="00B62FF8" w:rsidRDefault="00302EA3" w:rsidP="00BE3886">
      <w:pPr>
        <w:pStyle w:val="PNIPbullets"/>
      </w:pPr>
      <w:r>
        <w:t xml:space="preserve">$25,000 per year per 1,000 SWPE where a </w:t>
      </w:r>
      <w:r w:rsidR="008D2482">
        <w:t>r</w:t>
      </w:r>
      <w:r>
        <w:t xml:space="preserve">egistered </w:t>
      </w:r>
      <w:r w:rsidR="008D2482">
        <w:t>n</w:t>
      </w:r>
      <w:r>
        <w:t xml:space="preserve">urse </w:t>
      </w:r>
      <w:r w:rsidR="0017136F">
        <w:t xml:space="preserve">or an allied health professional </w:t>
      </w:r>
      <w:r>
        <w:t>works at least 12 hours and 40</w:t>
      </w:r>
      <w:r w:rsidR="008D2482">
        <w:t> </w:t>
      </w:r>
      <w:r>
        <w:t>minutes per week, and</w:t>
      </w:r>
    </w:p>
    <w:p w14:paraId="6C8B9C49" w14:textId="668D58E2" w:rsidR="00B62FF8" w:rsidRDefault="00302EA3" w:rsidP="00AB13AA">
      <w:pPr>
        <w:pStyle w:val="PNIPbullets"/>
        <w:spacing w:before="120" w:after="120" w:line="240" w:lineRule="auto"/>
      </w:pPr>
      <w:r>
        <w:t xml:space="preserve">$12,500 per year per 1,000 SWPE where an </w:t>
      </w:r>
      <w:r w:rsidR="008D2482">
        <w:t>e</w:t>
      </w:r>
      <w:r>
        <w:t xml:space="preserve">nrolled </w:t>
      </w:r>
      <w:r w:rsidR="008D2482">
        <w:t>n</w:t>
      </w:r>
      <w:r>
        <w:t>urse</w:t>
      </w:r>
      <w:r w:rsidR="0017136F">
        <w:t xml:space="preserve">, </w:t>
      </w:r>
      <w:r w:rsidR="0017136F" w:rsidRPr="00873167">
        <w:t xml:space="preserve">Aboriginal and Torres Strait Islander </w:t>
      </w:r>
      <w:r w:rsidR="002E4553" w:rsidRPr="004A609F">
        <w:t>H</w:t>
      </w:r>
      <w:r w:rsidR="0017136F" w:rsidRPr="00873167">
        <w:t xml:space="preserve">ealth </w:t>
      </w:r>
      <w:r w:rsidR="002E4553" w:rsidRPr="004A609F">
        <w:t>W</w:t>
      </w:r>
      <w:r w:rsidR="0017136F" w:rsidRPr="00873167">
        <w:t xml:space="preserve">orker and/or Aboriginal and Torres Strait Islander </w:t>
      </w:r>
      <w:r w:rsidR="002E4553" w:rsidRPr="004A609F">
        <w:t>H</w:t>
      </w:r>
      <w:r w:rsidR="0017136F" w:rsidRPr="00873167">
        <w:t xml:space="preserve">ealth </w:t>
      </w:r>
      <w:r w:rsidR="002E4553" w:rsidRPr="004A609F">
        <w:t>P</w:t>
      </w:r>
      <w:r w:rsidR="0017136F" w:rsidRPr="00873167">
        <w:t>ractitioner</w:t>
      </w:r>
      <w:r w:rsidR="0017136F" w:rsidRPr="0017136F">
        <w:t xml:space="preserve"> </w:t>
      </w:r>
      <w:r>
        <w:t>works at least 12 hours and 40</w:t>
      </w:r>
      <w:r w:rsidR="008D2482">
        <w:t> </w:t>
      </w:r>
      <w:r>
        <w:t>minutes per week</w:t>
      </w:r>
    </w:p>
    <w:p w14:paraId="3C0AFB5E" w14:textId="77777777" w:rsidR="003E1DD8" w:rsidRDefault="003E1DD8" w:rsidP="00AB13AA">
      <w:pPr>
        <w:pStyle w:val="PNIPbullets"/>
        <w:numPr>
          <w:ilvl w:val="0"/>
          <w:numId w:val="0"/>
        </w:numPr>
        <w:spacing w:before="120" w:after="120" w:line="240" w:lineRule="auto"/>
        <w:ind w:firstLine="709"/>
      </w:pPr>
    </w:p>
    <w:p w14:paraId="1763E5B4" w14:textId="77777777" w:rsidR="0060124C" w:rsidRDefault="0060124C" w:rsidP="00AB13AA">
      <w:pPr>
        <w:pStyle w:val="PNIPbullets"/>
        <w:numPr>
          <w:ilvl w:val="0"/>
          <w:numId w:val="0"/>
        </w:numPr>
        <w:spacing w:before="120" w:after="120" w:line="240" w:lineRule="auto"/>
        <w:ind w:firstLine="709"/>
      </w:pPr>
      <w:r>
        <w:t xml:space="preserve">Incentive payments are calculated and paid retrospectively each quarter. </w:t>
      </w:r>
    </w:p>
    <w:p w14:paraId="0A5FDA86" w14:textId="77777777" w:rsidR="003E1DD8" w:rsidRDefault="003E1DD8" w:rsidP="00AB13AA">
      <w:pPr>
        <w:pStyle w:val="PNIPbullets"/>
        <w:numPr>
          <w:ilvl w:val="0"/>
          <w:numId w:val="0"/>
        </w:numPr>
        <w:spacing w:before="120" w:after="120" w:line="240" w:lineRule="auto"/>
        <w:ind w:left="709"/>
      </w:pPr>
    </w:p>
    <w:p w14:paraId="6E6FE7FB" w14:textId="77777777" w:rsidR="0060124C" w:rsidRDefault="0060124C" w:rsidP="00AB13AA">
      <w:pPr>
        <w:pStyle w:val="PNIPbullets"/>
        <w:numPr>
          <w:ilvl w:val="0"/>
          <w:numId w:val="0"/>
        </w:numPr>
        <w:spacing w:before="120" w:after="120" w:line="240" w:lineRule="auto"/>
        <w:ind w:left="709"/>
      </w:pPr>
      <w:r>
        <w:t>The payment made to a practice can include a combination of components for eligible health professional hours. If a practice uses a combination of the services of eligible health professionals, the higher incentive of $25,000 will be applied first.</w:t>
      </w:r>
    </w:p>
    <w:p w14:paraId="0C5A2968" w14:textId="77777777" w:rsidR="003E1DD8" w:rsidRDefault="003E1DD8" w:rsidP="00AB13AA">
      <w:pPr>
        <w:pStyle w:val="PNIPbullets"/>
        <w:numPr>
          <w:ilvl w:val="0"/>
          <w:numId w:val="0"/>
        </w:numPr>
        <w:spacing w:before="120" w:after="120" w:line="240" w:lineRule="auto"/>
        <w:ind w:left="1259" w:hanging="550"/>
      </w:pPr>
    </w:p>
    <w:p w14:paraId="1A4EECBF" w14:textId="4ACA45C0" w:rsidR="003E1DD8" w:rsidRDefault="0060124C" w:rsidP="00AB13AA">
      <w:pPr>
        <w:pStyle w:val="PNIPbullets"/>
        <w:numPr>
          <w:ilvl w:val="0"/>
          <w:numId w:val="0"/>
        </w:numPr>
        <w:spacing w:before="120" w:after="120" w:line="240" w:lineRule="auto"/>
        <w:ind w:left="1259" w:hanging="550"/>
      </w:pPr>
      <w:r>
        <w:t>The maximum incentive payment a single practice can receive under PNIP is $125,000 per year.</w:t>
      </w:r>
    </w:p>
    <w:p w14:paraId="6D04A52B" w14:textId="41B59E3B" w:rsidR="00AE246E" w:rsidRDefault="00AE246E" w:rsidP="003E1DD8">
      <w:r>
        <w:t>Practices in an Urban Area of Workforce Shortage, Aboriginal Medical Services and Aboriginal Community Controlled Health Services are also eligible for funding</w:t>
      </w:r>
      <w:r w:rsidR="005159C7">
        <w:t>.</w:t>
      </w:r>
      <w:r>
        <w:t xml:space="preserve"> </w:t>
      </w:r>
      <w:r w:rsidR="005159C7">
        <w:t>They can get</w:t>
      </w:r>
      <w:r>
        <w:t xml:space="preserve"> $25,000 per year, per 1,000 SWPE to employ or otherwise retain the services of an eligible allied health professional who works at least 12 hours 40 minutes per week. We will advise practices if they’re located in an</w:t>
      </w:r>
      <w:r w:rsidR="006F6344">
        <w:t xml:space="preserve"> Urban Area of Workforce Shortage.</w:t>
      </w:r>
      <w:r>
        <w:t xml:space="preserve">  </w:t>
      </w:r>
    </w:p>
    <w:p w14:paraId="6403D251" w14:textId="48240534" w:rsidR="00AE246E" w:rsidRDefault="00AE246E" w:rsidP="003E1DD8">
      <w:pPr>
        <w:ind w:left="714" w:firstLine="0"/>
      </w:pPr>
      <w:r>
        <w:t xml:space="preserve">PNIP practices may claim the hours worked by practice nurses, allied health professionals, </w:t>
      </w:r>
      <w:r w:rsidR="0037699E">
        <w:t>Aboriginal and Torres Strait Islander Health Workers</w:t>
      </w:r>
      <w:r>
        <w:t xml:space="preserve"> or </w:t>
      </w:r>
      <w:r w:rsidR="0037699E">
        <w:t xml:space="preserve">Aboriginal and Torres Strait Islander Health Practitioners </w:t>
      </w:r>
      <w:r>
        <w:t>regardless of their pay arrangements.</w:t>
      </w:r>
    </w:p>
    <w:p w14:paraId="0860D199" w14:textId="1C6890CA" w:rsidR="00B86995" w:rsidRDefault="00B86995" w:rsidP="00B86995">
      <w:r>
        <w:t xml:space="preserve">To qualify for payments, practices must have lodged a </w:t>
      </w:r>
      <w:r w:rsidRPr="00AE246E">
        <w:rPr>
          <w:b/>
        </w:rPr>
        <w:t>completed</w:t>
      </w:r>
      <w:r>
        <w:t xml:space="preserve"> application - including supporting documentation - for the PNIP at least </w:t>
      </w:r>
      <w:r w:rsidRPr="00AE246E">
        <w:rPr>
          <w:b/>
        </w:rPr>
        <w:t>7 days</w:t>
      </w:r>
      <w:r>
        <w:t xml:space="preserve"> </w:t>
      </w:r>
      <w:r w:rsidR="00AE246E">
        <w:t>before</w:t>
      </w:r>
      <w:r>
        <w:t xml:space="preserve"> t</w:t>
      </w:r>
      <w:r w:rsidR="00865268">
        <w:t>he relevant point-in-time date and meet all eligibility requirements</w:t>
      </w:r>
      <w:r w:rsidR="001A302B">
        <w:t xml:space="preserve"> of the incentives for the entire quarter, including the point-in-time date.</w:t>
      </w:r>
    </w:p>
    <w:p w14:paraId="17C826FF" w14:textId="77097054" w:rsidR="00251451" w:rsidRDefault="00251451" w:rsidP="00251451">
      <w:r>
        <w:t xml:space="preserve">The point-in-time date is the last day of the month before the next PNIP quarterly payment.  </w:t>
      </w:r>
    </w:p>
    <w:p w14:paraId="2D9217F2" w14:textId="3C5FA5F7" w:rsidR="00B86995" w:rsidRPr="004C32F0" w:rsidRDefault="00865268" w:rsidP="00251451">
      <w:pPr>
        <w:pStyle w:val="PIPTablecaption"/>
        <w:ind w:firstLine="703"/>
        <w:rPr>
          <w:rFonts w:ascii="Times New Roman" w:hAnsi="Times New Roman" w:cs="Times New Roman"/>
        </w:rPr>
      </w:pPr>
      <w:r w:rsidRPr="004C32F0">
        <w:rPr>
          <w:rFonts w:ascii="Times New Roman" w:hAnsi="Times New Roman" w:cs="Times New Roman"/>
        </w:rPr>
        <w:t>Payment months, point-in-time dates and reference periods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471"/>
      </w:tblGrid>
      <w:tr w:rsidR="00865268" w:rsidRPr="00BF6FD3" w14:paraId="14EF1CD6" w14:textId="77777777" w:rsidTr="00283DEF">
        <w:trPr>
          <w:trHeight w:val="349"/>
        </w:trPr>
        <w:tc>
          <w:tcPr>
            <w:tcW w:w="2977" w:type="dxa"/>
          </w:tcPr>
          <w:p w14:paraId="50D15B32" w14:textId="77777777" w:rsidR="00865268" w:rsidRPr="004C32F0" w:rsidRDefault="00865268" w:rsidP="00283DEF">
            <w:pPr>
              <w:pStyle w:val="tablehead"/>
              <w:spacing w:before="0" w:after="0"/>
              <w:rPr>
                <w:rFonts w:ascii="Cambria" w:hAnsi="Cambria" w:cs="Arial"/>
              </w:rPr>
            </w:pPr>
            <w:r w:rsidRPr="004C32F0">
              <w:rPr>
                <w:rFonts w:ascii="Cambria" w:hAnsi="Cambria" w:cs="Arial"/>
                <w:color w:val="auto"/>
                <w:lang w:val="en-AU"/>
              </w:rPr>
              <w:t>Quarterly payment month</w:t>
            </w:r>
          </w:p>
        </w:tc>
        <w:tc>
          <w:tcPr>
            <w:tcW w:w="3047" w:type="dxa"/>
          </w:tcPr>
          <w:p w14:paraId="0AA46E6D" w14:textId="77777777" w:rsidR="00865268" w:rsidRPr="004C32F0" w:rsidRDefault="00865268" w:rsidP="00283DEF">
            <w:pPr>
              <w:pStyle w:val="tablehead"/>
              <w:spacing w:before="0" w:after="0"/>
              <w:rPr>
                <w:rFonts w:ascii="Cambria" w:hAnsi="Cambria" w:cs="Arial"/>
              </w:rPr>
            </w:pPr>
            <w:r w:rsidRPr="004C32F0">
              <w:rPr>
                <w:rFonts w:ascii="Cambria" w:hAnsi="Cambria" w:cs="Arial"/>
                <w:color w:val="auto"/>
                <w:lang w:val="en-AU"/>
              </w:rPr>
              <w:t>Point</w:t>
            </w:r>
            <w:r w:rsidRPr="004C32F0">
              <w:rPr>
                <w:rFonts w:ascii="Cambria" w:hAnsi="Cambria" w:cs="Arial"/>
                <w:color w:val="auto"/>
              </w:rPr>
              <w:t>-</w:t>
            </w:r>
            <w:r w:rsidRPr="004C32F0">
              <w:rPr>
                <w:rFonts w:ascii="Cambria" w:hAnsi="Cambria" w:cs="Arial"/>
                <w:color w:val="auto"/>
                <w:lang w:val="en-AU"/>
              </w:rPr>
              <w:t>in</w:t>
            </w:r>
            <w:r w:rsidRPr="004C32F0">
              <w:rPr>
                <w:rFonts w:ascii="Cambria" w:hAnsi="Cambria" w:cs="Arial"/>
                <w:color w:val="auto"/>
              </w:rPr>
              <w:t>-</w:t>
            </w:r>
            <w:r w:rsidRPr="004C32F0">
              <w:rPr>
                <w:rFonts w:ascii="Cambria" w:hAnsi="Cambria" w:cs="Arial"/>
                <w:color w:val="auto"/>
                <w:lang w:val="en-AU"/>
              </w:rPr>
              <w:t xml:space="preserve">time assessment </w:t>
            </w:r>
            <w:r w:rsidRPr="004C32F0">
              <w:rPr>
                <w:rFonts w:ascii="Cambria" w:hAnsi="Cambria" w:cs="Arial"/>
                <w:color w:val="auto"/>
              </w:rPr>
              <w:br/>
            </w:r>
            <w:r w:rsidRPr="004C32F0">
              <w:rPr>
                <w:rFonts w:ascii="Cambria" w:hAnsi="Cambria" w:cs="Arial"/>
                <w:color w:val="auto"/>
                <w:lang w:val="en-AU"/>
              </w:rPr>
              <w:t>of eligibility</w:t>
            </w:r>
          </w:p>
        </w:tc>
        <w:tc>
          <w:tcPr>
            <w:tcW w:w="3471" w:type="dxa"/>
          </w:tcPr>
          <w:p w14:paraId="612CF63B" w14:textId="77777777" w:rsidR="00865268" w:rsidRPr="004C32F0" w:rsidRDefault="00865268" w:rsidP="00283DEF">
            <w:pPr>
              <w:pStyle w:val="tablehead"/>
              <w:spacing w:before="0" w:after="0"/>
              <w:rPr>
                <w:rFonts w:ascii="Cambria" w:hAnsi="Cambria" w:cs="Arial"/>
              </w:rPr>
            </w:pPr>
            <w:r w:rsidRPr="004C32F0">
              <w:rPr>
                <w:rFonts w:ascii="Cambria" w:hAnsi="Cambria" w:cs="Arial"/>
                <w:color w:val="auto"/>
                <w:lang w:val="en-AU"/>
              </w:rPr>
              <w:t>Reference period</w:t>
            </w:r>
          </w:p>
        </w:tc>
      </w:tr>
      <w:tr w:rsidR="00865268" w:rsidRPr="00BF6FD3" w14:paraId="321D36B6" w14:textId="77777777" w:rsidTr="00283DEF">
        <w:trPr>
          <w:trHeight w:val="274"/>
        </w:trPr>
        <w:tc>
          <w:tcPr>
            <w:tcW w:w="2977" w:type="dxa"/>
          </w:tcPr>
          <w:p w14:paraId="34320AB2"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February</w:t>
            </w:r>
          </w:p>
        </w:tc>
        <w:tc>
          <w:tcPr>
            <w:tcW w:w="3047" w:type="dxa"/>
          </w:tcPr>
          <w:p w14:paraId="7ED1170B"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31 January</w:t>
            </w:r>
          </w:p>
        </w:tc>
        <w:tc>
          <w:tcPr>
            <w:tcW w:w="3471" w:type="dxa"/>
          </w:tcPr>
          <w:p w14:paraId="366DECAB"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1 November to 31 January</w:t>
            </w:r>
          </w:p>
        </w:tc>
      </w:tr>
      <w:tr w:rsidR="00865268" w:rsidRPr="00BF6FD3" w14:paraId="56EBC039" w14:textId="77777777" w:rsidTr="00283DEF">
        <w:trPr>
          <w:trHeight w:val="274"/>
        </w:trPr>
        <w:tc>
          <w:tcPr>
            <w:tcW w:w="2977" w:type="dxa"/>
          </w:tcPr>
          <w:p w14:paraId="25C8AEBF"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May</w:t>
            </w:r>
          </w:p>
        </w:tc>
        <w:tc>
          <w:tcPr>
            <w:tcW w:w="3047" w:type="dxa"/>
          </w:tcPr>
          <w:p w14:paraId="1EE4ABEE"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30 April</w:t>
            </w:r>
          </w:p>
        </w:tc>
        <w:tc>
          <w:tcPr>
            <w:tcW w:w="3471" w:type="dxa"/>
          </w:tcPr>
          <w:p w14:paraId="45A49B6F"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1 February to 30 April</w:t>
            </w:r>
          </w:p>
        </w:tc>
      </w:tr>
      <w:tr w:rsidR="00865268" w:rsidRPr="00BF6FD3" w14:paraId="18183E1E" w14:textId="77777777" w:rsidTr="00283DEF">
        <w:trPr>
          <w:trHeight w:val="274"/>
        </w:trPr>
        <w:tc>
          <w:tcPr>
            <w:tcW w:w="2977" w:type="dxa"/>
          </w:tcPr>
          <w:p w14:paraId="2D3A2ED0"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August</w:t>
            </w:r>
          </w:p>
        </w:tc>
        <w:tc>
          <w:tcPr>
            <w:tcW w:w="3047" w:type="dxa"/>
          </w:tcPr>
          <w:p w14:paraId="2C22AED1"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31 July</w:t>
            </w:r>
          </w:p>
        </w:tc>
        <w:tc>
          <w:tcPr>
            <w:tcW w:w="3471" w:type="dxa"/>
          </w:tcPr>
          <w:p w14:paraId="499945D1"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1 May to 31 July</w:t>
            </w:r>
          </w:p>
        </w:tc>
      </w:tr>
      <w:tr w:rsidR="00865268" w:rsidRPr="00BF6FD3" w14:paraId="5E62CB39" w14:textId="77777777" w:rsidTr="00283DEF">
        <w:trPr>
          <w:trHeight w:val="287"/>
        </w:trPr>
        <w:tc>
          <w:tcPr>
            <w:tcW w:w="2977" w:type="dxa"/>
          </w:tcPr>
          <w:p w14:paraId="7513BA8B"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November</w:t>
            </w:r>
          </w:p>
        </w:tc>
        <w:tc>
          <w:tcPr>
            <w:tcW w:w="3047" w:type="dxa"/>
          </w:tcPr>
          <w:p w14:paraId="10E868CD"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31 October</w:t>
            </w:r>
          </w:p>
        </w:tc>
        <w:tc>
          <w:tcPr>
            <w:tcW w:w="3471" w:type="dxa"/>
          </w:tcPr>
          <w:p w14:paraId="3F092F27" w14:textId="77777777" w:rsidR="00865268" w:rsidRPr="004C32F0" w:rsidRDefault="00865268" w:rsidP="00283DEF">
            <w:pPr>
              <w:pStyle w:val="tablebody"/>
              <w:spacing w:before="0" w:after="0"/>
              <w:rPr>
                <w:rFonts w:ascii="Cambria" w:hAnsi="Cambria" w:cs="Arial"/>
                <w:b w:val="0"/>
                <w:bCs w:val="0"/>
              </w:rPr>
            </w:pPr>
            <w:r w:rsidRPr="004C32F0">
              <w:rPr>
                <w:rFonts w:ascii="Cambria" w:hAnsi="Cambria" w:cs="Arial"/>
                <w:b w:val="0"/>
                <w:bCs w:val="0"/>
              </w:rPr>
              <w:t>1 August to 31 October</w:t>
            </w:r>
          </w:p>
        </w:tc>
      </w:tr>
    </w:tbl>
    <w:p w14:paraId="2D01F39A" w14:textId="616E9919" w:rsidR="000E3006" w:rsidRPr="005273D7" w:rsidRDefault="000E3006" w:rsidP="000E3006">
      <w:r w:rsidRPr="005273D7">
        <w:t xml:space="preserve">Practices no longer participating in the program at the point-in-time </w:t>
      </w:r>
      <w:r>
        <w:t xml:space="preserve">date </w:t>
      </w:r>
      <w:r w:rsidRPr="005273D7">
        <w:t xml:space="preserve">aren’t eligible to receive the current quarter payment. </w:t>
      </w:r>
    </w:p>
    <w:p w14:paraId="0ABDB9DC" w14:textId="7530F4B6" w:rsidR="000E3006" w:rsidRDefault="000E3006" w:rsidP="00CA62B1">
      <w:r w:rsidRPr="005273D7">
        <w:t xml:space="preserve">Practices </w:t>
      </w:r>
      <w:r>
        <w:t>must</w:t>
      </w:r>
      <w:r w:rsidRPr="005273D7">
        <w:t xml:space="preserve"> complete their </w:t>
      </w:r>
      <w:r>
        <w:t>quarterly confirmation statement</w:t>
      </w:r>
      <w:r w:rsidRPr="005273D7">
        <w:t xml:space="preserve"> before PNIP payments can be released.</w:t>
      </w:r>
    </w:p>
    <w:p w14:paraId="18EE5287" w14:textId="284579F5" w:rsidR="00B62FF8" w:rsidRDefault="00302EA3" w:rsidP="0036652A">
      <w:pPr>
        <w:pStyle w:val="Heading3"/>
      </w:pPr>
      <w:bookmarkStart w:id="29" w:name="_Toc490491615"/>
      <w:r>
        <w:t>Accreditation assistance payment</w:t>
      </w:r>
      <w:bookmarkEnd w:id="29"/>
    </w:p>
    <w:p w14:paraId="4252FAF3" w14:textId="4B623969" w:rsidR="0091758F" w:rsidRDefault="007227AA" w:rsidP="00A30251">
      <w:r>
        <w:t xml:space="preserve">Accreditation assistance is only available for practices previously not accredited or that are registered for accreditation with an accrediting body approved under the National General Practice Accreditation Scheme, at the time of joining the PNIP. </w:t>
      </w:r>
    </w:p>
    <w:p w14:paraId="09E0C051" w14:textId="212068B7" w:rsidR="00FC732F" w:rsidRPr="00DF754D" w:rsidRDefault="00302EA3" w:rsidP="00A30251">
      <w:r>
        <w:t xml:space="preserve">To be eligible for the </w:t>
      </w:r>
      <w:r w:rsidR="00A30251">
        <w:t>one-off $5,000</w:t>
      </w:r>
      <w:r>
        <w:t xml:space="preserve"> accreditation assistance payment, a practice must be registered for accreditation against the Royal Australian College of General Practitioners </w:t>
      </w:r>
      <w:r w:rsidR="00D51E1B">
        <w:t xml:space="preserve">(RACGP) </w:t>
      </w:r>
      <w:r w:rsidRPr="00924A76">
        <w:rPr>
          <w:i/>
        </w:rPr>
        <w:t>Standards for general practice</w:t>
      </w:r>
      <w:r w:rsidR="007E47BA" w:rsidRPr="00924A76">
        <w:rPr>
          <w:i/>
        </w:rPr>
        <w:t>s</w:t>
      </w:r>
      <w:r w:rsidRPr="00924A76">
        <w:rPr>
          <w:i/>
        </w:rPr>
        <w:t xml:space="preserve"> </w:t>
      </w:r>
      <w:r>
        <w:t xml:space="preserve">and meet the other </w:t>
      </w:r>
      <w:r w:rsidR="007033E0">
        <w:t xml:space="preserve">PNIP </w:t>
      </w:r>
      <w:r>
        <w:t>eligibility requirements</w:t>
      </w:r>
      <w:r w:rsidR="007033E0">
        <w:t>.</w:t>
      </w:r>
      <w:r w:rsidR="007227AA">
        <w:t xml:space="preserve"> Practice branches aren’t eligible for the payment.</w:t>
      </w:r>
      <w:r>
        <w:t xml:space="preserve"> </w:t>
      </w:r>
      <w:r w:rsidR="007033E0">
        <w:t xml:space="preserve"> </w:t>
      </w:r>
    </w:p>
    <w:p w14:paraId="772CF4E9" w14:textId="4F06E483" w:rsidR="00A30251" w:rsidRDefault="007227AA" w:rsidP="00A30251">
      <w:pPr>
        <w:rPr>
          <w:lang w:val="en-US"/>
        </w:rPr>
      </w:pPr>
      <w:r>
        <w:rPr>
          <w:lang w:val="en-US"/>
        </w:rPr>
        <w:t>If a practice withdraws or has its PNIP payments stopped and later reapplies, the practice won’t be entitled to another accreditation assistance payment.</w:t>
      </w:r>
      <w:r w:rsidR="00A30251" w:rsidRPr="00A30251">
        <w:rPr>
          <w:lang w:val="en-US"/>
        </w:rPr>
        <w:t xml:space="preserve"> </w:t>
      </w:r>
      <w:r w:rsidR="00A30251">
        <w:rPr>
          <w:lang w:val="en-US"/>
        </w:rPr>
        <w:t xml:space="preserve"> </w:t>
      </w:r>
    </w:p>
    <w:p w14:paraId="3F614085" w14:textId="781143BF" w:rsidR="00A30251" w:rsidRPr="00DF754D" w:rsidRDefault="00A30251" w:rsidP="00DF754D">
      <w:pPr>
        <w:ind w:left="714" w:firstLine="0"/>
        <w:rPr>
          <w:lang w:val="en-GB"/>
        </w:rPr>
      </w:pPr>
      <w:r w:rsidRPr="00571022">
        <w:rPr>
          <w:lang w:val="en-GB"/>
        </w:rPr>
        <w:t>T</w:t>
      </w:r>
      <w:r w:rsidRPr="005273D7">
        <w:rPr>
          <w:lang w:val="en-GB"/>
        </w:rPr>
        <w:t>he accreditation assistance payment will be recovered</w:t>
      </w:r>
      <w:r w:rsidRPr="00571022">
        <w:rPr>
          <w:lang w:val="en-GB"/>
        </w:rPr>
        <w:t xml:space="preserve"> if a practice isn’t </w:t>
      </w:r>
      <w:r w:rsidR="007227AA">
        <w:rPr>
          <w:lang w:val="en-GB"/>
        </w:rPr>
        <w:t xml:space="preserve">fully </w:t>
      </w:r>
      <w:r w:rsidRPr="00571022">
        <w:rPr>
          <w:lang w:val="en-GB"/>
        </w:rPr>
        <w:t>accredited within the 12 month period</w:t>
      </w:r>
      <w:r w:rsidRPr="005273D7">
        <w:rPr>
          <w:lang w:val="en-GB"/>
        </w:rPr>
        <w:t>.</w:t>
      </w:r>
    </w:p>
    <w:p w14:paraId="40585349" w14:textId="583D1238" w:rsidR="00B62FF8" w:rsidRDefault="00302EA3" w:rsidP="0036652A">
      <w:pPr>
        <w:pStyle w:val="Heading3"/>
      </w:pPr>
      <w:bookmarkStart w:id="30" w:name="_Toc490491616"/>
      <w:r>
        <w:lastRenderedPageBreak/>
        <w:t xml:space="preserve">Department of Veterans' Affairs </w:t>
      </w:r>
      <w:r w:rsidR="00374FE2">
        <w:t xml:space="preserve">loading payments </w:t>
      </w:r>
      <w:r w:rsidR="002C74AF">
        <w:t xml:space="preserve">and </w:t>
      </w:r>
      <w:r w:rsidR="00374FE2">
        <w:t>R</w:t>
      </w:r>
      <w:r w:rsidR="002C74AF">
        <w:t xml:space="preserve">ural </w:t>
      </w:r>
      <w:r>
        <w:t>loading</w:t>
      </w:r>
      <w:r w:rsidR="00374FE2">
        <w:t xml:space="preserve"> payments</w:t>
      </w:r>
      <w:bookmarkEnd w:id="30"/>
    </w:p>
    <w:p w14:paraId="362C047D" w14:textId="4072B817" w:rsidR="00CA62B1" w:rsidRPr="004C32F0" w:rsidRDefault="00CA62B1" w:rsidP="00CA62B1">
      <w:pPr>
        <w:pStyle w:val="Heading4"/>
        <w:rPr>
          <w:i w:val="0"/>
        </w:rPr>
      </w:pPr>
      <w:r w:rsidRPr="004C32F0">
        <w:rPr>
          <w:i w:val="0"/>
        </w:rPr>
        <w:t xml:space="preserve">DVA loading </w:t>
      </w:r>
      <w:r w:rsidR="00374FE2" w:rsidRPr="004C32F0">
        <w:rPr>
          <w:i w:val="0"/>
        </w:rPr>
        <w:t>payments</w:t>
      </w:r>
    </w:p>
    <w:p w14:paraId="2581D858" w14:textId="5DDF5E6F" w:rsidR="00CA62B1" w:rsidRPr="0033651F" w:rsidRDefault="00CA62B1" w:rsidP="00CA62B1">
      <w:pPr>
        <w:rPr>
          <w:lang w:val="en-GB"/>
        </w:rPr>
      </w:pPr>
      <w:r w:rsidRPr="0033651F">
        <w:rPr>
          <w:lang w:val="en-GB"/>
        </w:rPr>
        <w:t xml:space="preserve">Practices receiving the PNIP payment and providing </w:t>
      </w:r>
      <w:r w:rsidR="007E47BA">
        <w:rPr>
          <w:lang w:val="en-GB"/>
        </w:rPr>
        <w:t>g</w:t>
      </w:r>
      <w:r w:rsidR="00D51E1B">
        <w:rPr>
          <w:lang w:val="en-GB"/>
        </w:rPr>
        <w:t xml:space="preserve">eneral </w:t>
      </w:r>
      <w:r w:rsidR="007E47BA">
        <w:rPr>
          <w:lang w:val="en-GB"/>
        </w:rPr>
        <w:t>p</w:t>
      </w:r>
      <w:r w:rsidR="00D51E1B">
        <w:rPr>
          <w:lang w:val="en-GB"/>
        </w:rPr>
        <w:t>ractitioner (G</w:t>
      </w:r>
      <w:r w:rsidRPr="0033651F">
        <w:rPr>
          <w:lang w:val="en-GB"/>
        </w:rPr>
        <w:t>P</w:t>
      </w:r>
      <w:r w:rsidR="00D51E1B">
        <w:rPr>
          <w:lang w:val="en-GB"/>
        </w:rPr>
        <w:t>)</w:t>
      </w:r>
      <w:r w:rsidRPr="0033651F">
        <w:rPr>
          <w:lang w:val="en-GB"/>
        </w:rPr>
        <w:t xml:space="preserve"> services to DVA Gold Card holders are eligible for an annual payment for each veteran. We will identify these practices and make payments annually in the August quarter.</w:t>
      </w:r>
    </w:p>
    <w:p w14:paraId="43E9A758" w14:textId="5CFAAF5D" w:rsidR="00CA62B1" w:rsidRPr="00D00456" w:rsidRDefault="00CA62B1" w:rsidP="00CA62B1">
      <w:pPr>
        <w:rPr>
          <w:lang w:val="en-GB"/>
        </w:rPr>
      </w:pPr>
      <w:r w:rsidRPr="00D00456">
        <w:rPr>
          <w:lang w:val="en-GB"/>
        </w:rPr>
        <w:t>The DVA loading is based on the number of Gold Card holders who receive an ‘in room’ consultation in an eligible practice each year. An amount is paid for each DVA Gold Card holder, regardless of the practice location, nursing qualifications or the number of nurses in the practice. There is no limit on the number of DVA loadings paid per practice.</w:t>
      </w:r>
    </w:p>
    <w:p w14:paraId="5B66891F" w14:textId="55428FC9" w:rsidR="00CA62B1" w:rsidRPr="00D00456" w:rsidRDefault="00CA62B1" w:rsidP="00CA62B1">
      <w:pPr>
        <w:rPr>
          <w:lang w:val="en-GB"/>
        </w:rPr>
      </w:pPr>
      <w:r w:rsidRPr="005273D7">
        <w:rPr>
          <w:lang w:val="en-GB"/>
        </w:rPr>
        <w:t xml:space="preserve">Services must be provided by a GP or Fellows of the RACGP or </w:t>
      </w:r>
      <w:r w:rsidR="00797A41" w:rsidRPr="00D00456">
        <w:rPr>
          <w:lang w:val="en-GB"/>
        </w:rPr>
        <w:t>Australian College of Rural and Remote Medicine</w:t>
      </w:r>
      <w:r w:rsidRPr="005273D7">
        <w:rPr>
          <w:lang w:val="en-GB"/>
        </w:rPr>
        <w:t>. Non-vocationally registered general practitioners don’t meet the definition of GPs for the purposes of the DVA Loading.</w:t>
      </w:r>
    </w:p>
    <w:p w14:paraId="7228E05A" w14:textId="1E5DD2CF" w:rsidR="00CA62B1" w:rsidRPr="008610A2" w:rsidRDefault="00CA62B1" w:rsidP="00CA62B1">
      <w:pPr>
        <w:rPr>
          <w:lang w:val="en-GB"/>
        </w:rPr>
      </w:pPr>
      <w:r w:rsidRPr="00D00456">
        <w:rPr>
          <w:lang w:val="en-GB"/>
        </w:rPr>
        <w:t xml:space="preserve">When a DVA Gold Card holder goes to more than 1 practice each year, the DVA loading is shared across the practices based on the percentage of total consultation fees paid. </w:t>
      </w:r>
    </w:p>
    <w:p w14:paraId="7B87232B" w14:textId="77777777" w:rsidR="002C74AF" w:rsidRPr="00283DEF" w:rsidRDefault="002C74AF" w:rsidP="00283DEF">
      <w:pPr>
        <w:rPr>
          <w:rFonts w:eastAsia="MS Mincho" w:cs="HelveticaNeue-LightCond"/>
          <w:b/>
          <w:lang w:val="en-GB" w:eastAsia="en-US"/>
        </w:rPr>
      </w:pPr>
      <w:r w:rsidRPr="00283DEF">
        <w:rPr>
          <w:rFonts w:eastAsia="MS Mincho"/>
          <w:b/>
          <w:lang w:val="en-GB" w:eastAsia="en-US"/>
        </w:rPr>
        <w:t>Example</w:t>
      </w:r>
    </w:p>
    <w:p w14:paraId="5E042E23" w14:textId="5A9D8E48" w:rsidR="009B25D9" w:rsidRDefault="002C74AF">
      <w:pPr>
        <w:rPr>
          <w:rFonts w:eastAsia="MS Mincho" w:cs="HelveticaNeue-LightCond"/>
          <w:lang w:val="en-GB" w:eastAsia="en-US"/>
        </w:rPr>
      </w:pPr>
      <w:r w:rsidRPr="002C74AF">
        <w:rPr>
          <w:rFonts w:eastAsia="MS Mincho" w:cs="HelveticaNeue-LightCond"/>
          <w:lang w:val="en-GB" w:eastAsia="en-US"/>
        </w:rPr>
        <w:t xml:space="preserve">Mr Smith is a DVA Gold Card Holder and visits </w:t>
      </w:r>
      <w:r>
        <w:rPr>
          <w:rFonts w:eastAsia="MS Mincho" w:cs="HelveticaNeue-LightCond"/>
          <w:lang w:val="en-GB" w:eastAsia="en-US"/>
        </w:rPr>
        <w:t>3</w:t>
      </w:r>
      <w:r w:rsidRPr="002C74AF">
        <w:rPr>
          <w:rFonts w:eastAsia="MS Mincho" w:cs="HelveticaNeue-LightCond"/>
          <w:lang w:val="en-GB" w:eastAsia="en-US"/>
        </w:rPr>
        <w:t xml:space="preserve"> GP practices in a 12 month period, receiving services as </w:t>
      </w:r>
      <w:r>
        <w:rPr>
          <w:rFonts w:eastAsia="MS Mincho" w:cs="HelveticaNeue-LightCond"/>
          <w:lang w:val="en-GB" w:eastAsia="en-US"/>
        </w:rPr>
        <w:t>shown in the table below.</w:t>
      </w:r>
    </w:p>
    <w:p w14:paraId="1E01060B" w14:textId="620B1ED0" w:rsidR="00251451" w:rsidRPr="004C32F0" w:rsidRDefault="00251451" w:rsidP="00251451">
      <w:pPr>
        <w:pStyle w:val="PIPTablecaption"/>
        <w:ind w:firstLine="709"/>
        <w:rPr>
          <w:rFonts w:ascii="Times New Roman" w:hAnsi="Times New Roman" w:cs="Times New Roman"/>
          <w:lang w:val="en-GB" w:eastAsia="en-US"/>
        </w:rPr>
      </w:pPr>
      <w:r w:rsidRPr="004C32F0">
        <w:rPr>
          <w:rFonts w:ascii="Times New Roman" w:hAnsi="Times New Roman" w:cs="Times New Roman"/>
          <w:lang w:val="en-GB" w:eastAsia="en-US"/>
        </w:rPr>
        <w:t>Example of how the DVA loading is shared across practices</w:t>
      </w:r>
    </w:p>
    <w:tbl>
      <w:tblPr>
        <w:tblW w:w="4006" w:type="pct"/>
        <w:tblInd w:w="701" w:type="dxa"/>
        <w:tblCellMar>
          <w:left w:w="0" w:type="dxa"/>
          <w:right w:w="0" w:type="dxa"/>
        </w:tblCellMar>
        <w:tblLook w:val="0000" w:firstRow="0" w:lastRow="0" w:firstColumn="0" w:lastColumn="0" w:noHBand="0" w:noVBand="0"/>
      </w:tblPr>
      <w:tblGrid>
        <w:gridCol w:w="1123"/>
        <w:gridCol w:w="2568"/>
        <w:gridCol w:w="2124"/>
        <w:gridCol w:w="2549"/>
      </w:tblGrid>
      <w:tr w:rsidR="002C74AF" w:rsidRPr="002C74AF" w14:paraId="428757B4" w14:textId="77777777" w:rsidTr="00251451">
        <w:tc>
          <w:tcPr>
            <w:tcW w:w="671"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307E74A6"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MediumCond"/>
                <w:b/>
                <w:bCs/>
                <w:color w:val="auto"/>
                <w:sz w:val="20"/>
                <w:szCs w:val="20"/>
                <w:lang w:val="en-GB" w:eastAsia="en-US"/>
              </w:rPr>
            </w:pPr>
            <w:r w:rsidRPr="002C74AF">
              <w:rPr>
                <w:rFonts w:ascii="Cambria" w:eastAsia="MS Mincho" w:hAnsi="Cambria" w:cs="HelveticaNeue-MediumCond"/>
                <w:b/>
                <w:bCs/>
                <w:color w:val="auto"/>
                <w:sz w:val="20"/>
                <w:szCs w:val="20"/>
                <w:lang w:val="en-GB" w:eastAsia="en-US"/>
              </w:rPr>
              <w:t>Practice</w:t>
            </w:r>
          </w:p>
        </w:tc>
        <w:tc>
          <w:tcPr>
            <w:tcW w:w="1535"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7E4DCB7C"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MediumCond"/>
                <w:b/>
                <w:bCs/>
                <w:color w:val="auto"/>
                <w:sz w:val="20"/>
                <w:szCs w:val="20"/>
                <w:lang w:val="en-GB" w:eastAsia="en-US"/>
              </w:rPr>
            </w:pPr>
            <w:r w:rsidRPr="002C74AF">
              <w:rPr>
                <w:rFonts w:ascii="Cambria" w:eastAsia="MS Mincho" w:hAnsi="Cambria" w:cs="HelveticaNeue-MediumCond"/>
                <w:b/>
                <w:bCs/>
                <w:color w:val="auto"/>
                <w:sz w:val="20"/>
                <w:szCs w:val="20"/>
                <w:lang w:val="en-GB" w:eastAsia="en-US"/>
              </w:rPr>
              <w:t>Service items</w:t>
            </w:r>
          </w:p>
        </w:tc>
        <w:tc>
          <w:tcPr>
            <w:tcW w:w="1270"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09844352"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MediumCond"/>
                <w:b/>
                <w:bCs/>
                <w:color w:val="auto"/>
                <w:sz w:val="20"/>
                <w:szCs w:val="20"/>
                <w:lang w:val="en-GB" w:eastAsia="en-US"/>
              </w:rPr>
            </w:pPr>
            <w:r w:rsidRPr="002C74AF">
              <w:rPr>
                <w:rFonts w:ascii="Cambria" w:eastAsia="MS Mincho" w:hAnsi="Cambria" w:cs="HelveticaNeue-MediumCond"/>
                <w:b/>
                <w:bCs/>
                <w:color w:val="auto"/>
                <w:sz w:val="20"/>
                <w:szCs w:val="20"/>
                <w:lang w:val="en-GB" w:eastAsia="en-US"/>
              </w:rPr>
              <w:t>% Total annual cost</w:t>
            </w:r>
          </w:p>
        </w:tc>
        <w:tc>
          <w:tcPr>
            <w:tcW w:w="1524" w:type="pct"/>
            <w:tcBorders>
              <w:top w:val="single" w:sz="6" w:space="0" w:color="auto"/>
              <w:left w:val="single" w:sz="6" w:space="0" w:color="auto"/>
              <w:bottom w:val="single" w:sz="6" w:space="0" w:color="auto"/>
              <w:right w:val="single" w:sz="6" w:space="0" w:color="auto"/>
            </w:tcBorders>
            <w:tcMar>
              <w:top w:w="113" w:type="dxa"/>
              <w:left w:w="113" w:type="dxa"/>
              <w:bottom w:w="113" w:type="dxa"/>
              <w:right w:w="113" w:type="dxa"/>
            </w:tcMar>
          </w:tcPr>
          <w:p w14:paraId="32174A3A"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MediumCond"/>
                <w:b/>
                <w:bCs/>
                <w:color w:val="auto"/>
                <w:sz w:val="20"/>
                <w:szCs w:val="20"/>
                <w:lang w:val="en-GB" w:eastAsia="en-US"/>
              </w:rPr>
            </w:pPr>
            <w:r w:rsidRPr="002C74AF">
              <w:rPr>
                <w:rFonts w:ascii="Cambria" w:eastAsia="MS Mincho" w:hAnsi="Cambria" w:cs="HelveticaNeue-MediumCond"/>
                <w:b/>
                <w:bCs/>
                <w:color w:val="auto"/>
                <w:sz w:val="20"/>
                <w:szCs w:val="20"/>
                <w:lang w:val="en-GB" w:eastAsia="en-US"/>
              </w:rPr>
              <w:t>% Total DVA component</w:t>
            </w:r>
          </w:p>
        </w:tc>
      </w:tr>
      <w:tr w:rsidR="002C74AF" w:rsidRPr="002C74AF" w14:paraId="0F0BCE23" w14:textId="77777777" w:rsidTr="00251451">
        <w:tc>
          <w:tcPr>
            <w:tcW w:w="67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3C7CEA"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A</w:t>
            </w:r>
          </w:p>
        </w:tc>
        <w:tc>
          <w:tcPr>
            <w:tcW w:w="153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9105C1"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2 x Item 23</w:t>
            </w:r>
          </w:p>
        </w:tc>
        <w:tc>
          <w:tcPr>
            <w:tcW w:w="127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96BAC4"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29%</w:t>
            </w:r>
          </w:p>
        </w:tc>
        <w:tc>
          <w:tcPr>
            <w:tcW w:w="152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87E293"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29%</w:t>
            </w:r>
          </w:p>
        </w:tc>
      </w:tr>
      <w:tr w:rsidR="002C74AF" w:rsidRPr="002C74AF" w14:paraId="599FBFB9" w14:textId="77777777" w:rsidTr="00251451">
        <w:tc>
          <w:tcPr>
            <w:tcW w:w="67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EFD90C"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B</w:t>
            </w:r>
          </w:p>
        </w:tc>
        <w:tc>
          <w:tcPr>
            <w:tcW w:w="153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669460"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3 x Item 23 and 1 x Item 36</w:t>
            </w:r>
          </w:p>
        </w:tc>
        <w:tc>
          <w:tcPr>
            <w:tcW w:w="127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56F9BF"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57%</w:t>
            </w:r>
          </w:p>
        </w:tc>
        <w:tc>
          <w:tcPr>
            <w:tcW w:w="152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B7EA2D"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57%</w:t>
            </w:r>
          </w:p>
        </w:tc>
      </w:tr>
      <w:tr w:rsidR="002C74AF" w:rsidRPr="002C74AF" w14:paraId="3819E392" w14:textId="77777777" w:rsidTr="00251451">
        <w:tc>
          <w:tcPr>
            <w:tcW w:w="67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8B1451"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C</w:t>
            </w:r>
          </w:p>
        </w:tc>
        <w:tc>
          <w:tcPr>
            <w:tcW w:w="1535"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9747C8" w14:textId="77777777" w:rsidR="002C74AF" w:rsidRPr="002C74AF" w:rsidRDefault="002C74AF" w:rsidP="002C74AF">
            <w:pPr>
              <w:widowControl w:val="0"/>
              <w:suppressAutoHyphens/>
              <w:autoSpaceDE w:val="0"/>
              <w:autoSpaceDN w:val="0"/>
              <w:adjustRightInd w:val="0"/>
              <w:spacing w:before="0" w:after="0" w:line="240" w:lineRule="atLeast"/>
              <w:ind w:left="0" w:right="0" w:firstLine="0"/>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1 x Item 23</w:t>
            </w:r>
          </w:p>
        </w:tc>
        <w:tc>
          <w:tcPr>
            <w:tcW w:w="127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A9B420"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14%</w:t>
            </w:r>
          </w:p>
        </w:tc>
        <w:tc>
          <w:tcPr>
            <w:tcW w:w="152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6FFBC0" w14:textId="77777777" w:rsidR="002C74AF" w:rsidRPr="002C74AF" w:rsidRDefault="002C74AF" w:rsidP="002C74AF">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cs="HelveticaNeue-LightCond"/>
                <w:color w:val="auto"/>
                <w:sz w:val="20"/>
                <w:szCs w:val="20"/>
                <w:lang w:val="en-GB" w:eastAsia="en-US"/>
              </w:rPr>
            </w:pPr>
            <w:r w:rsidRPr="002C74AF">
              <w:rPr>
                <w:rFonts w:ascii="Cambria" w:eastAsia="MS Mincho" w:hAnsi="Cambria" w:cs="HelveticaNeue-LightCond"/>
                <w:color w:val="auto"/>
                <w:sz w:val="20"/>
                <w:szCs w:val="20"/>
                <w:lang w:val="en-GB" w:eastAsia="en-US"/>
              </w:rPr>
              <w:t>14%</w:t>
            </w:r>
          </w:p>
        </w:tc>
      </w:tr>
    </w:tbl>
    <w:p w14:paraId="696833ED" w14:textId="77777777" w:rsidR="00495F85" w:rsidRDefault="00495F85" w:rsidP="00CA62B1">
      <w:pPr>
        <w:pStyle w:val="Heading4"/>
        <w:rPr>
          <w:i w:val="0"/>
        </w:rPr>
      </w:pPr>
    </w:p>
    <w:p w14:paraId="187B46FB" w14:textId="0C0D2F4A" w:rsidR="00CA62B1" w:rsidRPr="004C32F0" w:rsidRDefault="00CA62B1" w:rsidP="00CA62B1">
      <w:pPr>
        <w:pStyle w:val="Heading4"/>
        <w:rPr>
          <w:i w:val="0"/>
        </w:rPr>
      </w:pPr>
      <w:r w:rsidRPr="004C32F0">
        <w:rPr>
          <w:i w:val="0"/>
        </w:rPr>
        <w:t xml:space="preserve">Rural loading </w:t>
      </w:r>
      <w:r w:rsidR="00374FE2" w:rsidRPr="004C32F0">
        <w:rPr>
          <w:i w:val="0"/>
        </w:rPr>
        <w:t>payments</w:t>
      </w:r>
    </w:p>
    <w:p w14:paraId="4C5EDA02" w14:textId="56073753" w:rsidR="00CA62B1" w:rsidRPr="004A609F" w:rsidRDefault="00CA62B1" w:rsidP="00CA62B1">
      <w:r w:rsidRPr="00CA62B1">
        <w:t>A rural loading will be applied to the incentive, or part thereof, for which the primary practice is eligible</w:t>
      </w:r>
      <w:r w:rsidRPr="00CA62B1">
        <w:rPr>
          <w:color w:val="auto"/>
        </w:rPr>
        <w:t xml:space="preserve">. </w:t>
      </w:r>
      <w:r w:rsidRPr="004A609F">
        <w:t xml:space="preserve">The rural loading </w:t>
      </w:r>
      <w:r w:rsidR="002244F5" w:rsidRPr="004A609F">
        <w:t>is</w:t>
      </w:r>
      <w:r w:rsidRPr="004A609F">
        <w:t xml:space="preserve"> based on the </w:t>
      </w:r>
      <w:r w:rsidR="00797A41" w:rsidRPr="004A609F">
        <w:t xml:space="preserve">Australian Standard Geographical Classification – Remoteness Areas (RA) </w:t>
      </w:r>
      <w:r w:rsidRPr="004A609F">
        <w:t xml:space="preserve">classification system. </w:t>
      </w:r>
    </w:p>
    <w:p w14:paraId="6DDE5BDC" w14:textId="77777777" w:rsidR="00CA62B1" w:rsidRPr="004A609F" w:rsidRDefault="00CA62B1" w:rsidP="00CA62B1">
      <w:r w:rsidRPr="004A609F">
        <w:t>The rural loading per PNIP incentive is:</w:t>
      </w:r>
    </w:p>
    <w:p w14:paraId="0676FEA9" w14:textId="77777777" w:rsidR="00CA62B1" w:rsidRPr="00CA62B1" w:rsidRDefault="00CA62B1" w:rsidP="00CA62B1">
      <w:pPr>
        <w:pStyle w:val="PNIPbullets"/>
      </w:pPr>
      <w:r w:rsidRPr="00CA62B1">
        <w:t>0% for a RA1 major city area</w:t>
      </w:r>
    </w:p>
    <w:p w14:paraId="1E145710" w14:textId="77777777" w:rsidR="00CA62B1" w:rsidRPr="00CA62B1" w:rsidRDefault="00CA62B1" w:rsidP="00CA62B1">
      <w:pPr>
        <w:pStyle w:val="PNIPbullets"/>
      </w:pPr>
      <w:r w:rsidRPr="00CA62B1">
        <w:t>20% for a RA2 inner regional area</w:t>
      </w:r>
    </w:p>
    <w:p w14:paraId="0D5CC719" w14:textId="77777777" w:rsidR="00CA62B1" w:rsidRPr="00CA62B1" w:rsidRDefault="00CA62B1" w:rsidP="00CA62B1">
      <w:pPr>
        <w:pStyle w:val="PNIPbullets"/>
      </w:pPr>
      <w:r w:rsidRPr="00CA62B1">
        <w:t>30% for a RA3 outer regional area</w:t>
      </w:r>
    </w:p>
    <w:p w14:paraId="3B4ECC18" w14:textId="77777777" w:rsidR="00CA62B1" w:rsidRPr="00CA62B1" w:rsidRDefault="00CA62B1" w:rsidP="00CA62B1">
      <w:pPr>
        <w:pStyle w:val="PNIPbullets"/>
      </w:pPr>
      <w:r w:rsidRPr="00CA62B1">
        <w:t>40% for a RA4 remote area, and</w:t>
      </w:r>
    </w:p>
    <w:p w14:paraId="0818269B" w14:textId="2124CF08" w:rsidR="002C74AF" w:rsidRPr="00CA62B1" w:rsidRDefault="00CA62B1" w:rsidP="00CA62B1">
      <w:pPr>
        <w:pStyle w:val="PNIPbullets"/>
      </w:pPr>
      <w:r w:rsidRPr="00CA62B1">
        <w:t>50% for a RA5 very remote area</w:t>
      </w:r>
    </w:p>
    <w:p w14:paraId="4F86A887" w14:textId="2CA897FD" w:rsidR="00B16806" w:rsidRDefault="00013E37" w:rsidP="003B7BF0">
      <w:pPr>
        <w:pStyle w:val="Heading2"/>
      </w:pPr>
      <w:bookmarkStart w:id="31" w:name="_Toc490491617"/>
      <w:r w:rsidRPr="002042AE">
        <w:t>P</w:t>
      </w:r>
      <w:r w:rsidR="00B16806" w:rsidRPr="002042AE">
        <w:t>ayment calculations</w:t>
      </w:r>
      <w:bookmarkEnd w:id="31"/>
    </w:p>
    <w:p w14:paraId="78376F2E" w14:textId="003DCF54" w:rsidR="007F1E50" w:rsidRDefault="00B16806" w:rsidP="00BE3886">
      <w:r>
        <w:t>Payments are calculated using Medicare and Department of Veterans’ Affairs</w:t>
      </w:r>
      <w:r w:rsidR="007E47BA">
        <w:t xml:space="preserve"> (DVA)</w:t>
      </w:r>
      <w:r>
        <w:t xml:space="preserve"> data. </w:t>
      </w:r>
    </w:p>
    <w:p w14:paraId="7BFC233F" w14:textId="4AE35304" w:rsidR="00B16806" w:rsidRDefault="00B16806" w:rsidP="00BE3886">
      <w:r>
        <w:lastRenderedPageBreak/>
        <w:t xml:space="preserve">The data is linked to the provider numbers specified on the practice's application, and any subsequent amendments. If, for example, a practice does not provide us with details of new practitioners </w:t>
      </w:r>
      <w:r w:rsidR="00251451">
        <w:t>it</w:t>
      </w:r>
      <w:r>
        <w:t xml:space="preserve"> will not receive payments associated with the services provided by those new practitioners.</w:t>
      </w:r>
    </w:p>
    <w:p w14:paraId="12E130C9" w14:textId="628183E7" w:rsidR="00B16806" w:rsidRDefault="00B16806" w:rsidP="00BE3886">
      <w:r>
        <w:t>If a practice tells us that it has changed its circumstances</w:t>
      </w:r>
      <w:r w:rsidR="007F1E50">
        <w:t xml:space="preserve">, the </w:t>
      </w:r>
      <w:r>
        <w:t>payment will be based on the updated details.</w:t>
      </w:r>
    </w:p>
    <w:p w14:paraId="088D3529" w14:textId="77777777" w:rsidR="00495F85" w:rsidRDefault="00495F85" w:rsidP="0036652A">
      <w:pPr>
        <w:pStyle w:val="body"/>
      </w:pPr>
    </w:p>
    <w:p w14:paraId="5A5C6DD2" w14:textId="7F5B0997" w:rsidR="004C1FAA" w:rsidRPr="004C32F0" w:rsidRDefault="004C1FAA" w:rsidP="0036652A">
      <w:pPr>
        <w:pStyle w:val="Heading3"/>
      </w:pPr>
      <w:bookmarkStart w:id="32" w:name="_Toc490491618"/>
      <w:r w:rsidRPr="004C32F0">
        <w:t>PNIP incentive amounts based on S</w:t>
      </w:r>
      <w:r w:rsidR="00797A41" w:rsidRPr="004C32F0">
        <w:t>tandardised Whole Patient Equivalent (SWPE)</w:t>
      </w:r>
      <w:r w:rsidRPr="004C32F0">
        <w:t xml:space="preserve"> values</w:t>
      </w:r>
      <w:bookmarkEnd w:id="32"/>
    </w:p>
    <w:tbl>
      <w:tblPr>
        <w:tblW w:w="4413" w:type="pct"/>
        <w:tblInd w:w="701" w:type="dxa"/>
        <w:tblLayout w:type="fixed"/>
        <w:tblCellMar>
          <w:left w:w="0" w:type="dxa"/>
          <w:right w:w="0" w:type="dxa"/>
        </w:tblCellMar>
        <w:tblLook w:val="0000" w:firstRow="0" w:lastRow="0" w:firstColumn="0" w:lastColumn="0" w:noHBand="0" w:noVBand="0"/>
      </w:tblPr>
      <w:tblGrid>
        <w:gridCol w:w="992"/>
        <w:gridCol w:w="2698"/>
        <w:gridCol w:w="2685"/>
        <w:gridCol w:w="2838"/>
      </w:tblGrid>
      <w:tr w:rsidR="004C1FAA" w:rsidRPr="00013E37" w14:paraId="25D3AA72" w14:textId="77777777" w:rsidTr="00251451">
        <w:trPr>
          <w:trHeight w:val="570"/>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FFCFB88" w14:textId="77777777" w:rsidR="004C1FAA" w:rsidRPr="00495F85"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495F85">
              <w:rPr>
                <w:rFonts w:ascii="Cambria" w:eastAsia="MS Mincho" w:hAnsi="Cambria"/>
                <w:b/>
                <w:bCs/>
                <w:color w:val="auto"/>
                <w:sz w:val="20"/>
                <w:szCs w:val="20"/>
                <w:lang w:val="en-GB" w:eastAsia="en-US"/>
              </w:rPr>
              <w:t>SWPE</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4A5FC2" w14:textId="77777777" w:rsidR="004C1FAA" w:rsidRPr="004C32F0" w:rsidRDefault="004C1FAA" w:rsidP="00A053E4">
            <w:pPr>
              <w:widowControl w:val="0"/>
              <w:suppressAutoHyphens/>
              <w:autoSpaceDE w:val="0"/>
              <w:autoSpaceDN w:val="0"/>
              <w:adjustRightInd w:val="0"/>
              <w:spacing w:before="0" w:after="0" w:line="240" w:lineRule="atLeast"/>
              <w:ind w:left="0" w:right="113" w:firstLine="0"/>
              <w:textAlignment w:val="center"/>
              <w:rPr>
                <w:rFonts w:ascii="Cambria" w:eastAsia="MS Mincho" w:hAnsi="Cambria"/>
                <w:b/>
                <w:bCs/>
                <w:color w:val="auto"/>
                <w:sz w:val="20"/>
                <w:szCs w:val="20"/>
                <w:lang w:val="en-GB" w:eastAsia="en-US"/>
              </w:rPr>
            </w:pPr>
            <w:r w:rsidRPr="00495F85">
              <w:rPr>
                <w:rFonts w:ascii="Cambria" w:eastAsia="MS Mincho" w:hAnsi="Cambria"/>
                <w:b/>
                <w:bCs/>
                <w:color w:val="auto"/>
                <w:sz w:val="20"/>
                <w:szCs w:val="20"/>
                <w:lang w:val="en-GB" w:eastAsia="en-US"/>
              </w:rPr>
              <w:t>Minimum number of practice nurse hours per week for full incentive payment</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4856AB" w14:textId="77777777" w:rsidR="004C1FAA" w:rsidRPr="004C32F0" w:rsidRDefault="004C1FAA" w:rsidP="00A053E4">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C32F0">
              <w:rPr>
                <w:rFonts w:ascii="Cambria" w:eastAsia="MS Mincho" w:hAnsi="Cambria"/>
                <w:b/>
                <w:bCs/>
                <w:color w:val="auto"/>
                <w:sz w:val="20"/>
                <w:szCs w:val="20"/>
                <w:lang w:val="en-GB" w:eastAsia="en-US"/>
              </w:rPr>
              <w:t>Incentive amount for a registered nurse or allied health professional</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3192A5" w14:textId="043BE74C" w:rsidR="004C1FAA" w:rsidRPr="004C32F0" w:rsidRDefault="004C1FAA" w:rsidP="00A053E4">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C32F0">
              <w:rPr>
                <w:rFonts w:ascii="Cambria" w:eastAsia="MS Mincho" w:hAnsi="Cambria"/>
                <w:b/>
                <w:bCs/>
                <w:color w:val="auto"/>
                <w:sz w:val="20"/>
                <w:szCs w:val="20"/>
                <w:lang w:val="en-GB" w:eastAsia="en-US"/>
              </w:rPr>
              <w:t>Incentive amount for an enrolled nurse</w:t>
            </w:r>
            <w:r w:rsidR="003E1DD8" w:rsidRPr="004C32F0">
              <w:rPr>
                <w:rFonts w:ascii="Cambria" w:eastAsia="MS Mincho" w:hAnsi="Cambria"/>
                <w:b/>
                <w:bCs/>
                <w:color w:val="auto"/>
                <w:sz w:val="20"/>
                <w:szCs w:val="20"/>
                <w:lang w:val="en-GB" w:eastAsia="en-US"/>
              </w:rPr>
              <w:t>,</w:t>
            </w:r>
            <w:r w:rsidRPr="004C32F0">
              <w:rPr>
                <w:rFonts w:ascii="Cambria" w:eastAsia="MS Mincho" w:hAnsi="Cambria"/>
                <w:b/>
                <w:bCs/>
                <w:color w:val="auto"/>
                <w:sz w:val="20"/>
                <w:szCs w:val="20"/>
                <w:lang w:val="en-GB" w:eastAsia="en-US"/>
              </w:rPr>
              <w:t xml:space="preserve"> </w:t>
            </w:r>
            <w:r w:rsidR="0037699E" w:rsidRPr="004C32F0">
              <w:rPr>
                <w:rFonts w:ascii="Cambria" w:eastAsia="MS Mincho" w:hAnsi="Cambria"/>
                <w:b/>
                <w:bCs/>
                <w:color w:val="auto"/>
                <w:sz w:val="20"/>
                <w:szCs w:val="20"/>
                <w:lang w:val="en-GB" w:eastAsia="en-US"/>
              </w:rPr>
              <w:t>Aboriginal and Torres Strait Islander Health Worker</w:t>
            </w:r>
            <w:r w:rsidR="003E1DD8" w:rsidRPr="004C32F0">
              <w:rPr>
                <w:rFonts w:ascii="Cambria" w:eastAsia="MS Mincho" w:hAnsi="Cambria"/>
                <w:b/>
                <w:bCs/>
                <w:color w:val="auto"/>
                <w:sz w:val="20"/>
                <w:szCs w:val="20"/>
                <w:lang w:val="en-GB" w:eastAsia="en-US"/>
              </w:rPr>
              <w:t>, or Aboriginal and Torres Strait Islander Health Practitioner</w:t>
            </w:r>
          </w:p>
        </w:tc>
      </w:tr>
      <w:tr w:rsidR="004C1FAA" w:rsidRPr="00013E37" w14:paraId="1B96125A" w14:textId="77777777" w:rsidTr="00251451">
        <w:trPr>
          <w:trHeight w:val="156"/>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43E9D79" w14:textId="77777777" w:rsidR="004C1FAA" w:rsidRPr="00D52256"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1000</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12BFE6E" w14:textId="77777777" w:rsidR="004C1FAA" w:rsidRPr="00473949"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 xml:space="preserve">12 hours 40 minutes </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CC82C5" w14:textId="0924F44D" w:rsidR="004C1FAA" w:rsidRPr="00495F85"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$25</w:t>
            </w:r>
            <w:r w:rsidR="00D52256" w:rsidRPr="00495F85">
              <w:rPr>
                <w:rFonts w:ascii="Cambria" w:eastAsia="MS Mincho" w:hAnsi="Cambria"/>
                <w:color w:val="auto"/>
                <w:sz w:val="20"/>
                <w:szCs w:val="20"/>
                <w:lang w:eastAsia="en-US"/>
              </w:rPr>
              <w:t>,</w:t>
            </w:r>
            <w:r w:rsidRPr="00495F85">
              <w:rPr>
                <w:rFonts w:ascii="Cambria" w:eastAsia="MS Mincho" w:hAnsi="Cambria"/>
                <w:color w:val="auto"/>
                <w:sz w:val="20"/>
                <w:szCs w:val="20"/>
                <w:lang w:eastAsia="en-US"/>
              </w:rPr>
              <w:t>000</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C1C456" w14:textId="69BCEF75" w:rsidR="004C1FAA" w:rsidRPr="004C32F0"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$12</w:t>
            </w:r>
            <w:r w:rsidR="00D52256" w:rsidRPr="00495F85">
              <w:rPr>
                <w:rFonts w:ascii="Cambria" w:eastAsia="MS Mincho" w:hAnsi="Cambria"/>
                <w:color w:val="auto"/>
                <w:sz w:val="20"/>
                <w:szCs w:val="20"/>
                <w:lang w:eastAsia="en-US"/>
              </w:rPr>
              <w:t>,</w:t>
            </w:r>
            <w:r w:rsidRPr="004C32F0">
              <w:rPr>
                <w:rFonts w:ascii="Cambria" w:eastAsia="MS Mincho" w:hAnsi="Cambria"/>
                <w:color w:val="auto"/>
                <w:sz w:val="20"/>
                <w:szCs w:val="20"/>
                <w:lang w:eastAsia="en-US"/>
              </w:rPr>
              <w:t>500</w:t>
            </w:r>
          </w:p>
        </w:tc>
      </w:tr>
      <w:tr w:rsidR="004C1FAA" w:rsidRPr="00013E37" w14:paraId="46D99BFB" w14:textId="77777777" w:rsidTr="00251451">
        <w:trPr>
          <w:trHeight w:hRule="exact" w:val="360"/>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74ACAE1" w14:textId="77777777" w:rsidR="004C1FAA" w:rsidRPr="00D52256"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2000</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3B55FED1" w14:textId="77777777" w:rsidR="004C1FAA" w:rsidRPr="00473949"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 xml:space="preserve">25 hours 20 minutes </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6D1D7309" w14:textId="103B5245" w:rsidR="004C1FAA" w:rsidRPr="00495F85"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$50</w:t>
            </w:r>
            <w:r w:rsidR="00D52256" w:rsidRPr="00495F85">
              <w:rPr>
                <w:rFonts w:ascii="Cambria" w:eastAsia="MS Mincho" w:hAnsi="Cambria"/>
                <w:color w:val="auto"/>
                <w:sz w:val="20"/>
                <w:szCs w:val="20"/>
                <w:lang w:eastAsia="en-US"/>
              </w:rPr>
              <w:t>,</w:t>
            </w:r>
            <w:r w:rsidRPr="00495F85">
              <w:rPr>
                <w:rFonts w:ascii="Cambria" w:eastAsia="MS Mincho" w:hAnsi="Cambria"/>
                <w:color w:val="auto"/>
                <w:sz w:val="20"/>
                <w:szCs w:val="20"/>
                <w:lang w:eastAsia="en-US"/>
              </w:rPr>
              <w:t>000</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vAlign w:val="center"/>
          </w:tcPr>
          <w:p w14:paraId="1DD31BAE" w14:textId="4ECFD0B8" w:rsidR="004C1FAA" w:rsidRPr="004C32F0"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$25</w:t>
            </w:r>
            <w:r w:rsidR="00D52256" w:rsidRPr="00495F85">
              <w:rPr>
                <w:rFonts w:ascii="Cambria" w:eastAsia="MS Mincho" w:hAnsi="Cambria"/>
                <w:color w:val="auto"/>
                <w:sz w:val="20"/>
                <w:szCs w:val="20"/>
                <w:lang w:eastAsia="en-US"/>
              </w:rPr>
              <w:t>,</w:t>
            </w:r>
            <w:r w:rsidRPr="004C32F0">
              <w:rPr>
                <w:rFonts w:ascii="Cambria" w:eastAsia="MS Mincho" w:hAnsi="Cambria"/>
                <w:color w:val="auto"/>
                <w:sz w:val="20"/>
                <w:szCs w:val="20"/>
                <w:lang w:eastAsia="en-US"/>
              </w:rPr>
              <w:t>000</w:t>
            </w:r>
          </w:p>
        </w:tc>
      </w:tr>
      <w:tr w:rsidR="004C1FAA" w:rsidRPr="00013E37" w14:paraId="6DE6BD15" w14:textId="77777777" w:rsidTr="00251451">
        <w:trPr>
          <w:trHeight w:val="156"/>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41C7BF" w14:textId="77777777" w:rsidR="004C1FAA" w:rsidRPr="00D52256"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3000</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98C2E0" w14:textId="77777777" w:rsidR="004C1FAA" w:rsidRPr="00473949"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 xml:space="preserve">38 hours </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78F911" w14:textId="158710C4" w:rsidR="004C1FAA" w:rsidRPr="00495F85"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$75</w:t>
            </w:r>
            <w:r w:rsidR="00D52256" w:rsidRPr="00495F85">
              <w:rPr>
                <w:rFonts w:ascii="Cambria" w:eastAsia="MS Mincho" w:hAnsi="Cambria"/>
                <w:color w:val="auto"/>
                <w:sz w:val="20"/>
                <w:szCs w:val="20"/>
                <w:lang w:eastAsia="en-US"/>
              </w:rPr>
              <w:t>,</w:t>
            </w:r>
            <w:r w:rsidRPr="00495F85">
              <w:rPr>
                <w:rFonts w:ascii="Cambria" w:eastAsia="MS Mincho" w:hAnsi="Cambria"/>
                <w:color w:val="auto"/>
                <w:sz w:val="20"/>
                <w:szCs w:val="20"/>
                <w:lang w:eastAsia="en-US"/>
              </w:rPr>
              <w:t>000</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DF7FE62" w14:textId="799AF495" w:rsidR="004C1FAA" w:rsidRPr="004C32F0"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$37</w:t>
            </w:r>
            <w:r w:rsidR="00D52256" w:rsidRPr="00495F85">
              <w:rPr>
                <w:rFonts w:ascii="Cambria" w:eastAsia="MS Mincho" w:hAnsi="Cambria"/>
                <w:color w:val="auto"/>
                <w:sz w:val="20"/>
                <w:szCs w:val="20"/>
                <w:lang w:eastAsia="en-US"/>
              </w:rPr>
              <w:t>,</w:t>
            </w:r>
            <w:r w:rsidRPr="004C32F0">
              <w:rPr>
                <w:rFonts w:ascii="Cambria" w:eastAsia="MS Mincho" w:hAnsi="Cambria"/>
                <w:color w:val="auto"/>
                <w:sz w:val="20"/>
                <w:szCs w:val="20"/>
                <w:lang w:eastAsia="en-US"/>
              </w:rPr>
              <w:t>500</w:t>
            </w:r>
          </w:p>
        </w:tc>
      </w:tr>
      <w:tr w:rsidR="004C1FAA" w:rsidRPr="00013E37" w14:paraId="059D44D2" w14:textId="77777777" w:rsidTr="00251451">
        <w:trPr>
          <w:trHeight w:val="156"/>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7F0B368" w14:textId="77777777" w:rsidR="004C1FAA" w:rsidRPr="00D52256"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4000</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1F8275" w14:textId="77777777" w:rsidR="004C1FAA" w:rsidRPr="00473949"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 xml:space="preserve">50 hours 40 minutes </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DCAEFF" w14:textId="48A5FFF9" w:rsidR="004C1FAA" w:rsidRPr="00495F85"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$100</w:t>
            </w:r>
            <w:r w:rsidR="00D52256" w:rsidRPr="00495F85">
              <w:rPr>
                <w:rFonts w:ascii="Cambria" w:eastAsia="MS Mincho" w:hAnsi="Cambria"/>
                <w:color w:val="auto"/>
                <w:sz w:val="20"/>
                <w:szCs w:val="20"/>
                <w:lang w:eastAsia="en-US"/>
              </w:rPr>
              <w:t>,</w:t>
            </w:r>
            <w:r w:rsidRPr="00495F85">
              <w:rPr>
                <w:rFonts w:ascii="Cambria" w:eastAsia="MS Mincho" w:hAnsi="Cambria"/>
                <w:color w:val="auto"/>
                <w:sz w:val="20"/>
                <w:szCs w:val="20"/>
                <w:lang w:eastAsia="en-US"/>
              </w:rPr>
              <w:t>000</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326D71" w14:textId="2359D970" w:rsidR="004C1FAA" w:rsidRPr="004C32F0"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$50</w:t>
            </w:r>
            <w:r w:rsidR="00D52256" w:rsidRPr="00495F85">
              <w:rPr>
                <w:rFonts w:ascii="Cambria" w:eastAsia="MS Mincho" w:hAnsi="Cambria"/>
                <w:color w:val="auto"/>
                <w:sz w:val="20"/>
                <w:szCs w:val="20"/>
                <w:lang w:eastAsia="en-US"/>
              </w:rPr>
              <w:t>,</w:t>
            </w:r>
            <w:r w:rsidRPr="004C32F0">
              <w:rPr>
                <w:rFonts w:ascii="Cambria" w:eastAsia="MS Mincho" w:hAnsi="Cambria"/>
                <w:color w:val="auto"/>
                <w:sz w:val="20"/>
                <w:szCs w:val="20"/>
                <w:lang w:eastAsia="en-US"/>
              </w:rPr>
              <w:t>000</w:t>
            </w:r>
          </w:p>
        </w:tc>
      </w:tr>
      <w:tr w:rsidR="004C1FAA" w:rsidRPr="00013E37" w14:paraId="44340746" w14:textId="77777777" w:rsidTr="00251451">
        <w:trPr>
          <w:trHeight w:val="156"/>
        </w:trPr>
        <w:tc>
          <w:tcPr>
            <w:tcW w:w="53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D65EBAD" w14:textId="77777777" w:rsidR="004C1FAA" w:rsidRPr="00D52256"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5000</w:t>
            </w:r>
          </w:p>
        </w:tc>
        <w:tc>
          <w:tcPr>
            <w:tcW w:w="1464"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A0F3F50" w14:textId="77777777" w:rsidR="004C1FAA" w:rsidRPr="00473949" w:rsidRDefault="004C1FAA" w:rsidP="00A053E4">
            <w:pPr>
              <w:widowControl w:val="0"/>
              <w:suppressAutoHyphens/>
              <w:autoSpaceDE w:val="0"/>
              <w:autoSpaceDN w:val="0"/>
              <w:adjustRightInd w:val="0"/>
              <w:spacing w:before="0" w:after="0" w:line="240" w:lineRule="atLeast"/>
              <w:ind w:left="0" w:right="0" w:firstLine="0"/>
              <w:textAlignment w:val="center"/>
              <w:rPr>
                <w:rFonts w:ascii="Cambria" w:eastAsia="MS Mincho" w:hAnsi="Cambria"/>
                <w:b/>
                <w:bCs/>
                <w:color w:val="auto"/>
                <w:sz w:val="20"/>
                <w:szCs w:val="20"/>
                <w:lang w:val="en-GB" w:eastAsia="en-US"/>
              </w:rPr>
            </w:pPr>
            <w:r w:rsidRPr="00D52256">
              <w:rPr>
                <w:rFonts w:ascii="Cambria" w:eastAsia="MS Mincho" w:hAnsi="Cambria"/>
                <w:color w:val="auto"/>
                <w:sz w:val="20"/>
                <w:szCs w:val="20"/>
                <w:lang w:eastAsia="en-US"/>
              </w:rPr>
              <w:t xml:space="preserve">63 hours 20 minutes </w:t>
            </w:r>
          </w:p>
        </w:tc>
        <w:tc>
          <w:tcPr>
            <w:tcW w:w="1457"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5FCB674" w14:textId="48F75955" w:rsidR="004C1FAA" w:rsidRPr="00495F85"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$125</w:t>
            </w:r>
            <w:r w:rsidR="00D52256" w:rsidRPr="00495F85">
              <w:rPr>
                <w:rFonts w:ascii="Cambria" w:eastAsia="MS Mincho" w:hAnsi="Cambria"/>
                <w:color w:val="auto"/>
                <w:sz w:val="20"/>
                <w:szCs w:val="20"/>
                <w:lang w:eastAsia="en-US"/>
              </w:rPr>
              <w:t>,</w:t>
            </w:r>
            <w:r w:rsidRPr="00495F85">
              <w:rPr>
                <w:rFonts w:ascii="Cambria" w:eastAsia="MS Mincho" w:hAnsi="Cambria"/>
                <w:color w:val="auto"/>
                <w:sz w:val="20"/>
                <w:szCs w:val="20"/>
                <w:lang w:eastAsia="en-US"/>
              </w:rPr>
              <w:t>000</w:t>
            </w:r>
          </w:p>
        </w:tc>
        <w:tc>
          <w:tcPr>
            <w:tcW w:w="1540"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F06A8B" w14:textId="542ADBD5" w:rsidR="004C1FAA" w:rsidRPr="004C32F0" w:rsidRDefault="004C1FAA" w:rsidP="00D52256">
            <w:pPr>
              <w:widowControl w:val="0"/>
              <w:suppressAutoHyphens/>
              <w:autoSpaceDE w:val="0"/>
              <w:autoSpaceDN w:val="0"/>
              <w:adjustRightInd w:val="0"/>
              <w:spacing w:before="0" w:after="0" w:line="240" w:lineRule="atLeast"/>
              <w:ind w:left="0" w:right="0" w:firstLine="0"/>
              <w:jc w:val="right"/>
              <w:textAlignment w:val="center"/>
              <w:rPr>
                <w:rFonts w:ascii="Cambria" w:eastAsia="MS Mincho" w:hAnsi="Cambria"/>
                <w:b/>
                <w:bCs/>
                <w:color w:val="auto"/>
                <w:sz w:val="20"/>
                <w:szCs w:val="20"/>
                <w:lang w:val="en-GB" w:eastAsia="en-US"/>
              </w:rPr>
            </w:pPr>
            <w:r w:rsidRPr="00495F85">
              <w:rPr>
                <w:rFonts w:ascii="Cambria" w:eastAsia="MS Mincho" w:hAnsi="Cambria"/>
                <w:color w:val="auto"/>
                <w:sz w:val="20"/>
                <w:szCs w:val="20"/>
                <w:lang w:eastAsia="en-US"/>
              </w:rPr>
              <w:t>$62</w:t>
            </w:r>
            <w:r w:rsidR="00D52256" w:rsidRPr="00495F85">
              <w:rPr>
                <w:rFonts w:ascii="Cambria" w:eastAsia="MS Mincho" w:hAnsi="Cambria"/>
                <w:color w:val="auto"/>
                <w:sz w:val="20"/>
                <w:szCs w:val="20"/>
                <w:lang w:eastAsia="en-US"/>
              </w:rPr>
              <w:t>,</w:t>
            </w:r>
            <w:r w:rsidRPr="004C32F0">
              <w:rPr>
                <w:rFonts w:ascii="Cambria" w:eastAsia="MS Mincho" w:hAnsi="Cambria"/>
                <w:color w:val="auto"/>
                <w:sz w:val="20"/>
                <w:szCs w:val="20"/>
                <w:lang w:eastAsia="en-US"/>
              </w:rPr>
              <w:t>500</w:t>
            </w:r>
          </w:p>
        </w:tc>
      </w:tr>
    </w:tbl>
    <w:p w14:paraId="309D9173" w14:textId="1DAE2FA7" w:rsidR="002125DA" w:rsidRDefault="0040783D" w:rsidP="0036652A">
      <w:pPr>
        <w:pStyle w:val="Heading3"/>
      </w:pPr>
      <w:r>
        <w:t xml:space="preserve"> </w:t>
      </w:r>
      <w:bookmarkStart w:id="33" w:name="_Toc490491619"/>
      <w:r w:rsidR="002125DA">
        <w:t>Hours for full time staff</w:t>
      </w:r>
      <w:bookmarkEnd w:id="33"/>
      <w:r w:rsidR="002125DA">
        <w:t xml:space="preserve">  </w:t>
      </w:r>
    </w:p>
    <w:p w14:paraId="5CA5777B" w14:textId="4A050178" w:rsidR="002125DA" w:rsidRPr="002125DA" w:rsidRDefault="002125DA" w:rsidP="006912E5">
      <w:r w:rsidRPr="002125DA">
        <w:t>Practices will need to calculate the average weekly hou</w:t>
      </w:r>
      <w:r>
        <w:t xml:space="preserve">rs over the quarter (13 weeks), taking into account other restrictions mentioned in </w:t>
      </w:r>
      <w:r w:rsidRPr="00283DEF">
        <w:rPr>
          <w:u w:val="single"/>
        </w:rPr>
        <w:t>eligibility for the P</w:t>
      </w:r>
      <w:r w:rsidR="00797A41">
        <w:rPr>
          <w:u w:val="single"/>
        </w:rPr>
        <w:t>ractice Nurse Incentive Program (P</w:t>
      </w:r>
      <w:r w:rsidRPr="00283DEF">
        <w:rPr>
          <w:u w:val="single"/>
        </w:rPr>
        <w:t>NIP</w:t>
      </w:r>
      <w:r w:rsidR="00797A41">
        <w:rPr>
          <w:u w:val="single"/>
        </w:rPr>
        <w:t>)</w:t>
      </w:r>
      <w:r>
        <w:rPr>
          <w:u w:val="single"/>
        </w:rPr>
        <w:t>.</w:t>
      </w:r>
    </w:p>
    <w:p w14:paraId="04D243B3" w14:textId="7E0BE49A" w:rsidR="00F75ED5" w:rsidRDefault="00F75ED5" w:rsidP="00283DEF">
      <w:r>
        <w:t>For the PNIP</w:t>
      </w:r>
      <w:r w:rsidR="00283DEF">
        <w:t>,</w:t>
      </w:r>
      <w:r>
        <w:t xml:space="preserve"> the number of hours a full time practice nurse</w:t>
      </w:r>
      <w:r w:rsidR="00F77214">
        <w:t xml:space="preserve">, </w:t>
      </w:r>
      <w:r w:rsidR="002125DA">
        <w:t>allied health p</w:t>
      </w:r>
      <w:r w:rsidR="002125DA" w:rsidRPr="002125DA">
        <w:t xml:space="preserve">rofessional, </w:t>
      </w:r>
      <w:r w:rsidR="002125DA" w:rsidRPr="00873167">
        <w:t xml:space="preserve">Aboriginal and Torres Strait Islander </w:t>
      </w:r>
      <w:r w:rsidR="002E4553" w:rsidRPr="004A609F">
        <w:t>H</w:t>
      </w:r>
      <w:r w:rsidR="002125DA" w:rsidRPr="00873167">
        <w:t xml:space="preserve">ealth </w:t>
      </w:r>
      <w:r w:rsidR="002E4553" w:rsidRPr="004A609F">
        <w:t>W</w:t>
      </w:r>
      <w:r w:rsidR="002125DA" w:rsidRPr="00873167">
        <w:t xml:space="preserve">orker and/or Aboriginal and Torres Strait Islander </w:t>
      </w:r>
      <w:r w:rsidR="002E4553" w:rsidRPr="004A609F">
        <w:t>H</w:t>
      </w:r>
      <w:r w:rsidR="002125DA" w:rsidRPr="00873167">
        <w:t xml:space="preserve">ealth </w:t>
      </w:r>
      <w:r w:rsidR="002E4553" w:rsidRPr="004A609F">
        <w:t>P</w:t>
      </w:r>
      <w:r w:rsidR="002125DA" w:rsidRPr="00873167">
        <w:t>ractitioner</w:t>
      </w:r>
      <w:r w:rsidR="002125DA">
        <w:t xml:space="preserve"> </w:t>
      </w:r>
      <w:r>
        <w:t>work</w:t>
      </w:r>
      <w:r w:rsidR="00650CC5">
        <w:t>er</w:t>
      </w:r>
      <w:r>
        <w:t xml:space="preserve">s is equivalent to 38 hours per week. </w:t>
      </w:r>
    </w:p>
    <w:p w14:paraId="0C3CE3DB" w14:textId="432692DF" w:rsidR="00F75ED5" w:rsidRDefault="00F75ED5" w:rsidP="00283DEF">
      <w:r>
        <w:t xml:space="preserve">Practices need to calculate the total number of hours worked per week for all registered nurses, enrolled nurses, </w:t>
      </w:r>
      <w:r w:rsidR="0037699E" w:rsidRPr="004A609F">
        <w:t>Aboriginal and Torres Strait Islander Health Worker</w:t>
      </w:r>
      <w:r w:rsidR="002E4553" w:rsidRPr="00873167">
        <w:t>s</w:t>
      </w:r>
      <w:r w:rsidR="00650CC5" w:rsidRPr="00873167">
        <w:t xml:space="preserve"> and/or </w:t>
      </w:r>
      <w:r w:rsidR="0037699E" w:rsidRPr="004A609F">
        <w:t>Aboriginal and Torres Strait Islander Health Practitioner</w:t>
      </w:r>
      <w:r w:rsidR="002E4553" w:rsidRPr="00873167">
        <w:t>s</w:t>
      </w:r>
      <w:r w:rsidR="00650CC5">
        <w:t xml:space="preserve"> </w:t>
      </w:r>
      <w:r>
        <w:t xml:space="preserve">and allied health professionals working at the practice. </w:t>
      </w:r>
    </w:p>
    <w:p w14:paraId="753A0B19" w14:textId="7B5F1A39" w:rsidR="009370FB" w:rsidRDefault="009370FB" w:rsidP="009370FB">
      <w:pPr>
        <w:rPr>
          <w:rFonts w:eastAsia="MS Mincho"/>
        </w:rPr>
      </w:pPr>
      <w:r w:rsidRPr="00283DEF">
        <w:rPr>
          <w:rFonts w:eastAsia="MS Mincho"/>
        </w:rPr>
        <w:t xml:space="preserve">For the PNIP, the calculation of a full time </w:t>
      </w:r>
      <w:r w:rsidR="007E47BA">
        <w:rPr>
          <w:rFonts w:eastAsia="MS Mincho"/>
        </w:rPr>
        <w:t>g</w:t>
      </w:r>
      <w:r w:rsidR="00797A41">
        <w:rPr>
          <w:rFonts w:eastAsia="MS Mincho"/>
        </w:rPr>
        <w:t xml:space="preserve">eneral </w:t>
      </w:r>
      <w:r w:rsidR="007E47BA">
        <w:rPr>
          <w:rFonts w:eastAsia="MS Mincho"/>
        </w:rPr>
        <w:t>p</w:t>
      </w:r>
      <w:r w:rsidR="00797A41">
        <w:rPr>
          <w:rFonts w:eastAsia="MS Mincho"/>
        </w:rPr>
        <w:t>ractitioner (G</w:t>
      </w:r>
      <w:r w:rsidRPr="00283DEF">
        <w:rPr>
          <w:rFonts w:eastAsia="MS Mincho"/>
        </w:rPr>
        <w:t>P</w:t>
      </w:r>
      <w:r w:rsidR="00797A41">
        <w:rPr>
          <w:rFonts w:eastAsia="MS Mincho"/>
        </w:rPr>
        <w:t>s)</w:t>
      </w:r>
      <w:r w:rsidRPr="00283DEF">
        <w:rPr>
          <w:rFonts w:eastAsia="MS Mincho"/>
        </w:rPr>
        <w:t xml:space="preserve"> is based on a practice’s SWPE value. </w:t>
      </w:r>
    </w:p>
    <w:p w14:paraId="0290C85A" w14:textId="39DD537F" w:rsidR="009370FB" w:rsidRDefault="009370FB" w:rsidP="009370FB">
      <w:pPr>
        <w:rPr>
          <w:rFonts w:eastAsia="MS Mincho"/>
        </w:rPr>
      </w:pPr>
      <w:r w:rsidRPr="00283DEF">
        <w:rPr>
          <w:rFonts w:eastAsia="MS Mincho"/>
        </w:rPr>
        <w:t>As a guide, the average full time</w:t>
      </w:r>
      <w:r w:rsidRPr="00013E37">
        <w:rPr>
          <w:rFonts w:eastAsia="MS Mincho"/>
          <w:sz w:val="24"/>
          <w:szCs w:val="24"/>
          <w:lang w:eastAsia="en-US"/>
        </w:rPr>
        <w:t xml:space="preserve"> </w:t>
      </w:r>
      <w:r w:rsidRPr="00283DEF">
        <w:rPr>
          <w:rFonts w:eastAsia="MS Mincho"/>
        </w:rPr>
        <w:t>GP has a SWPE value of around 1</w:t>
      </w:r>
      <w:r>
        <w:rPr>
          <w:rFonts w:eastAsia="MS Mincho"/>
        </w:rPr>
        <w:t>,</w:t>
      </w:r>
      <w:r w:rsidRPr="00283DEF">
        <w:rPr>
          <w:rFonts w:eastAsia="MS Mincho"/>
        </w:rPr>
        <w:t xml:space="preserve">000 each year. </w:t>
      </w:r>
      <w:r>
        <w:rPr>
          <w:rFonts w:eastAsia="MS Mincho"/>
        </w:rPr>
        <w:t xml:space="preserve">We </w:t>
      </w:r>
      <w:r w:rsidRPr="00283DEF">
        <w:rPr>
          <w:rFonts w:eastAsia="MS Mincho"/>
        </w:rPr>
        <w:t>will determine a practice’s SWPE value based on M</w:t>
      </w:r>
      <w:r w:rsidR="00797A41">
        <w:rPr>
          <w:rFonts w:eastAsia="MS Mincho"/>
        </w:rPr>
        <w:t xml:space="preserve">edicare Benefits Schedule </w:t>
      </w:r>
      <w:r w:rsidRPr="00283DEF">
        <w:rPr>
          <w:rFonts w:eastAsia="MS Mincho"/>
        </w:rPr>
        <w:t>and DVA data of the GPs working in the practice</w:t>
      </w:r>
      <w:r>
        <w:rPr>
          <w:rFonts w:eastAsia="MS Mincho"/>
        </w:rPr>
        <w:t>.</w:t>
      </w:r>
    </w:p>
    <w:p w14:paraId="0172324F" w14:textId="77777777" w:rsidR="00905593" w:rsidRDefault="00905593" w:rsidP="00920B20">
      <w:pPr>
        <w:pStyle w:val="Heading3"/>
        <w:rPr>
          <w:lang w:val="en-US"/>
        </w:rPr>
      </w:pPr>
      <w:bookmarkStart w:id="34" w:name="_Toc490491620"/>
      <w:r>
        <w:rPr>
          <w:lang w:val="en-US"/>
        </w:rPr>
        <w:t>Grace periods</w:t>
      </w:r>
      <w:bookmarkEnd w:id="34"/>
    </w:p>
    <w:p w14:paraId="1500BEF8" w14:textId="617290EA" w:rsidR="00905593" w:rsidRPr="005564B3" w:rsidRDefault="00905593" w:rsidP="005564B3">
      <w:r w:rsidRPr="005564B3">
        <w:t>If a practice nurse, Aboriginal Health Worker, Aboriginal Health Practitioner or allied health professional leaves a practice receiving funding from the PNIP, the practice has 21 days to replace them before it affects the calculation of incentives.</w:t>
      </w:r>
    </w:p>
    <w:p w14:paraId="58AAE166" w14:textId="2AF09858" w:rsidR="00905593" w:rsidRPr="005564B3" w:rsidRDefault="00905593" w:rsidP="005564B3">
      <w:r w:rsidRPr="005564B3">
        <w:t>If a practice nurse, Aboriginal Health Worker, Aboriginal Health Practitioner or allied health professional leaves a practice that is receiving funding from the PNIP, the practice has 45 calendar days to replace them before it affects the calculation of incentives, if the practice is:</w:t>
      </w:r>
    </w:p>
    <w:p w14:paraId="2E95D8F7" w14:textId="429B8FF8" w:rsidR="00905593" w:rsidRPr="003545A3" w:rsidRDefault="00905593" w:rsidP="003545A3">
      <w:pPr>
        <w:pStyle w:val="PNIPbullets"/>
        <w:ind w:left="1619"/>
      </w:pPr>
      <w:r w:rsidRPr="005564B3">
        <w:rPr>
          <w:color w:val="auto"/>
          <w:lang w:val="en-US"/>
        </w:rPr>
        <w:t xml:space="preserve"> </w:t>
      </w:r>
      <w:r w:rsidRPr="003545A3">
        <w:t>receiving a rural loading based on the ASGC-RA classification</w:t>
      </w:r>
    </w:p>
    <w:p w14:paraId="45B141DD" w14:textId="3810F0A9" w:rsidR="00905593" w:rsidRPr="003545A3" w:rsidRDefault="00905593" w:rsidP="003545A3">
      <w:pPr>
        <w:pStyle w:val="PNIPbullets"/>
        <w:ind w:left="1619"/>
      </w:pPr>
      <w:r w:rsidRPr="003545A3">
        <w:t>  an Aboriginal Medical Service or Aboriginal Community Controlled Health Service, or</w:t>
      </w:r>
    </w:p>
    <w:p w14:paraId="3C3895B9" w14:textId="7CED56F0" w:rsidR="00905593" w:rsidRPr="003545A3" w:rsidRDefault="00905593" w:rsidP="003545A3">
      <w:pPr>
        <w:pStyle w:val="PNIPbullets"/>
        <w:ind w:left="1619"/>
      </w:pPr>
      <w:r w:rsidRPr="003545A3">
        <w:lastRenderedPageBreak/>
        <w:t>in area of urban workforce shortage.</w:t>
      </w:r>
    </w:p>
    <w:p w14:paraId="61D4BD43" w14:textId="60A5019C" w:rsidR="00905593" w:rsidRPr="005564B3" w:rsidRDefault="00905593" w:rsidP="005564B3">
      <w:r w:rsidRPr="005564B3">
        <w:t>If a practice can’t replace the practice nurse, Aboriginal Health Worker, Aboriginal Health Practitioner or allied health professional within the applicable grace period, the practice has 7 days to notify Human Services of the change in their circumstances.</w:t>
      </w:r>
    </w:p>
    <w:p w14:paraId="396D9220" w14:textId="47F577B9" w:rsidR="00905593" w:rsidRPr="005564B3" w:rsidRDefault="00905593" w:rsidP="005564B3">
      <w:r w:rsidRPr="005564B3">
        <w:t xml:space="preserve">Health audits practices receiving payments under the PNIP to verify they are meeting the eligibility requirements. Audits may include practice visits or a review of practice documentation. If requested by the </w:t>
      </w:r>
      <w:r w:rsidR="009F060A" w:rsidRPr="005564B3">
        <w:t>d</w:t>
      </w:r>
      <w:r w:rsidRPr="005564B3">
        <w:t xml:space="preserve">epartments of Health or Human Services, practices must provide evidence to support their eligibility and claims for payment.  </w:t>
      </w:r>
    </w:p>
    <w:p w14:paraId="4760571A" w14:textId="64E9DA2F" w:rsidR="00B74B66" w:rsidRPr="00495F85" w:rsidRDefault="00B74B66" w:rsidP="00920B20">
      <w:pPr>
        <w:pStyle w:val="Heading3"/>
      </w:pPr>
      <w:bookmarkStart w:id="35" w:name="_Toc490491621"/>
      <w:r w:rsidRPr="004C32F0">
        <w:t>Example</w:t>
      </w:r>
      <w:r w:rsidR="004C1FAA" w:rsidRPr="004C32F0">
        <w:t>s</w:t>
      </w:r>
      <w:r w:rsidR="009370FB" w:rsidRPr="004C32F0">
        <w:t xml:space="preserve"> of PNIP payments</w:t>
      </w:r>
      <w:bookmarkEnd w:id="35"/>
    </w:p>
    <w:p w14:paraId="0860C7AF" w14:textId="754D0FCC" w:rsidR="00B74B66" w:rsidRPr="00B74B66" w:rsidRDefault="00B74B66" w:rsidP="00B74B66">
      <w:pPr>
        <w:rPr>
          <w:b/>
          <w:bCs/>
          <w:lang w:val="en-GB"/>
        </w:rPr>
      </w:pPr>
      <w:r w:rsidRPr="00B74B66">
        <w:rPr>
          <w:b/>
          <w:bCs/>
        </w:rPr>
        <w:t xml:space="preserve">Scenario </w:t>
      </w:r>
      <w:r w:rsidR="009E3A4A">
        <w:rPr>
          <w:b/>
          <w:bCs/>
        </w:rPr>
        <w:t>1</w:t>
      </w:r>
      <w:r w:rsidR="00822E3F">
        <w:rPr>
          <w:b/>
          <w:bCs/>
        </w:rPr>
        <w:t xml:space="preserve"> - registered nurse and enrolled nurse</w:t>
      </w:r>
    </w:p>
    <w:p w14:paraId="41E5DE43" w14:textId="7215D72A" w:rsidR="00B74B66" w:rsidRPr="006912E5" w:rsidRDefault="00B74B66" w:rsidP="004C1FAA">
      <w:pPr>
        <w:rPr>
          <w:b/>
          <w:bCs/>
        </w:rPr>
      </w:pPr>
      <w:r w:rsidRPr="00B74B66">
        <w:t>The Bluetown General Practice has a SWPE value of 3</w:t>
      </w:r>
      <w:r w:rsidR="00F52121">
        <w:t>,</w:t>
      </w:r>
      <w:r w:rsidRPr="00B74B66">
        <w:t xml:space="preserve">000 and employs </w:t>
      </w:r>
      <w:r w:rsidR="00822E3F">
        <w:t>1</w:t>
      </w:r>
      <w:r w:rsidRPr="00B74B66">
        <w:t xml:space="preserve"> </w:t>
      </w:r>
      <w:r>
        <w:t>registered nurse</w:t>
      </w:r>
      <w:r w:rsidRPr="00B74B66">
        <w:t xml:space="preserve"> for 19 hours per week and </w:t>
      </w:r>
      <w:r w:rsidR="00822E3F">
        <w:t>1</w:t>
      </w:r>
      <w:r w:rsidRPr="00B74B66">
        <w:t xml:space="preserve"> </w:t>
      </w:r>
      <w:r>
        <w:t xml:space="preserve">enrolled nurse </w:t>
      </w:r>
      <w:r w:rsidR="004C1FAA">
        <w:t xml:space="preserve">for 19 hours per week. </w:t>
      </w:r>
    </w:p>
    <w:p w14:paraId="277308E6" w14:textId="05502925" w:rsidR="009E3A4A" w:rsidRDefault="00B74B66" w:rsidP="00B74B66">
      <w:r w:rsidRPr="00B74B66">
        <w:t>The Bluetown General Practice is eligible for</w:t>
      </w:r>
      <w:r w:rsidR="00822E3F">
        <w:t xml:space="preserve"> the following incentive</w:t>
      </w:r>
      <w:r w:rsidR="009E3A4A">
        <w:t>:</w:t>
      </w:r>
    </w:p>
    <w:p w14:paraId="2A8C889B" w14:textId="6852E4E8" w:rsidR="00B74B66" w:rsidRPr="00B74B66" w:rsidRDefault="00822E3F" w:rsidP="00B74B66">
      <w:pPr>
        <w:rPr>
          <w:b/>
          <w:bCs/>
        </w:rPr>
      </w:pPr>
      <w:r>
        <w:t>1</w:t>
      </w:r>
      <w:r w:rsidR="009E3A4A">
        <w:t xml:space="preserve"> registered nurse</w:t>
      </w:r>
      <w:r w:rsidR="00B74B66" w:rsidRPr="00B74B66">
        <w:t xml:space="preserve"> ($37,500) </w:t>
      </w:r>
      <w:r w:rsidR="009E3A4A">
        <w:t xml:space="preserve">+ </w:t>
      </w:r>
      <w:r>
        <w:t xml:space="preserve">1 </w:t>
      </w:r>
      <w:r w:rsidR="009E3A4A">
        <w:t>nurse</w:t>
      </w:r>
      <w:r w:rsidR="00B74B66" w:rsidRPr="00B74B66">
        <w:t xml:space="preserve"> incentive of ($18,750) </w:t>
      </w:r>
      <w:r w:rsidR="009E3A4A">
        <w:t>=</w:t>
      </w:r>
      <w:r w:rsidR="00B74B66" w:rsidRPr="00B74B66">
        <w:t xml:space="preserve"> $56,250 per year or $14,062.50 per quarter.  </w:t>
      </w:r>
    </w:p>
    <w:p w14:paraId="2FE72ED1" w14:textId="23FADD6F" w:rsidR="009E3A4A" w:rsidRPr="009E3A4A" w:rsidRDefault="009E3A4A" w:rsidP="009E3A4A">
      <w:pPr>
        <w:rPr>
          <w:b/>
          <w:bCs/>
          <w:lang w:val="en-GB"/>
        </w:rPr>
      </w:pPr>
      <w:r w:rsidRPr="009E3A4A">
        <w:rPr>
          <w:b/>
          <w:bCs/>
        </w:rPr>
        <w:t xml:space="preserve">Scenario </w:t>
      </w:r>
      <w:r w:rsidR="00822E3F">
        <w:rPr>
          <w:b/>
          <w:bCs/>
        </w:rPr>
        <w:t>2 – registered nurse</w:t>
      </w:r>
    </w:p>
    <w:p w14:paraId="24C045FD" w14:textId="7AD90AD8" w:rsidR="009E3A4A" w:rsidRPr="006912E5" w:rsidRDefault="009E3A4A" w:rsidP="009E3A4A">
      <w:pPr>
        <w:rPr>
          <w:bCs/>
        </w:rPr>
      </w:pPr>
      <w:r w:rsidRPr="006912E5">
        <w:rPr>
          <w:bCs/>
        </w:rPr>
        <w:t>Across the city, there</w:t>
      </w:r>
      <w:r w:rsidR="00CB5679">
        <w:rPr>
          <w:bCs/>
        </w:rPr>
        <w:t>’</w:t>
      </w:r>
      <w:r w:rsidRPr="006912E5">
        <w:rPr>
          <w:bCs/>
        </w:rPr>
        <w:t xml:space="preserve">s a larger general practice called the Purpletown Family Practice </w:t>
      </w:r>
      <w:r w:rsidR="004C1FAA">
        <w:rPr>
          <w:bCs/>
        </w:rPr>
        <w:t>that</w:t>
      </w:r>
      <w:r w:rsidRPr="006912E5">
        <w:rPr>
          <w:bCs/>
        </w:rPr>
        <w:t xml:space="preserve"> has a SWPE value of 5</w:t>
      </w:r>
      <w:r w:rsidR="00F52121">
        <w:rPr>
          <w:bCs/>
        </w:rPr>
        <w:t>,</w:t>
      </w:r>
      <w:r w:rsidRPr="006912E5">
        <w:rPr>
          <w:bCs/>
        </w:rPr>
        <w:t xml:space="preserve">000. The Purpletown Family Practice only has one </w:t>
      </w:r>
      <w:r>
        <w:rPr>
          <w:bCs/>
        </w:rPr>
        <w:t>registered nurse</w:t>
      </w:r>
      <w:r w:rsidRPr="006912E5">
        <w:rPr>
          <w:bCs/>
        </w:rPr>
        <w:t xml:space="preserve"> who works 38 hours per week. </w:t>
      </w:r>
    </w:p>
    <w:p w14:paraId="15F5628E" w14:textId="0C6C1418" w:rsidR="009E3A4A" w:rsidRPr="009E3A4A" w:rsidRDefault="009E3A4A" w:rsidP="009E3A4A">
      <w:pPr>
        <w:rPr>
          <w:bCs/>
        </w:rPr>
      </w:pPr>
      <w:r w:rsidRPr="006912E5">
        <w:rPr>
          <w:bCs/>
        </w:rPr>
        <w:t>Even though the Purpletown Family Practice has a SWPE value of 5</w:t>
      </w:r>
      <w:r w:rsidR="00F52121">
        <w:rPr>
          <w:bCs/>
        </w:rPr>
        <w:t>,</w:t>
      </w:r>
      <w:r w:rsidRPr="006912E5">
        <w:rPr>
          <w:bCs/>
        </w:rPr>
        <w:t xml:space="preserve">000, it is only eligible for an incentive based on </w:t>
      </w:r>
      <w:r w:rsidR="00822E3F">
        <w:rPr>
          <w:bCs/>
        </w:rPr>
        <w:t>1</w:t>
      </w:r>
      <w:r w:rsidRPr="006912E5">
        <w:rPr>
          <w:bCs/>
        </w:rPr>
        <w:t xml:space="preserve"> full</w:t>
      </w:r>
      <w:r w:rsidRPr="009E3A4A">
        <w:rPr>
          <w:bCs/>
        </w:rPr>
        <w:t xml:space="preserve"> </w:t>
      </w:r>
      <w:r w:rsidRPr="006912E5">
        <w:rPr>
          <w:bCs/>
        </w:rPr>
        <w:t xml:space="preserve">time </w:t>
      </w:r>
      <w:r w:rsidRPr="009E3A4A">
        <w:rPr>
          <w:bCs/>
        </w:rPr>
        <w:t>practice n</w:t>
      </w:r>
      <w:r w:rsidRPr="006912E5">
        <w:rPr>
          <w:bCs/>
        </w:rPr>
        <w:t>urse</w:t>
      </w:r>
      <w:r w:rsidRPr="009E3A4A">
        <w:rPr>
          <w:bCs/>
        </w:rPr>
        <w:t>:</w:t>
      </w:r>
    </w:p>
    <w:p w14:paraId="4CD009C3" w14:textId="3A8277B1" w:rsidR="009E3A4A" w:rsidRPr="00BD1D03" w:rsidRDefault="00822E3F" w:rsidP="009E3A4A">
      <w:pPr>
        <w:rPr>
          <w:bCs/>
        </w:rPr>
      </w:pPr>
      <w:r>
        <w:rPr>
          <w:bCs/>
        </w:rPr>
        <w:t>1</w:t>
      </w:r>
      <w:r w:rsidR="009E3A4A" w:rsidRPr="00BD1D03">
        <w:rPr>
          <w:bCs/>
        </w:rPr>
        <w:t xml:space="preserve"> full</w:t>
      </w:r>
      <w:r w:rsidR="009E3A4A" w:rsidRPr="009E3A4A">
        <w:rPr>
          <w:bCs/>
        </w:rPr>
        <w:t xml:space="preserve"> </w:t>
      </w:r>
      <w:r w:rsidR="009E3A4A" w:rsidRPr="00BD1D03">
        <w:rPr>
          <w:bCs/>
        </w:rPr>
        <w:t xml:space="preserve">time </w:t>
      </w:r>
      <w:r w:rsidR="009E3A4A" w:rsidRPr="009E3A4A">
        <w:rPr>
          <w:bCs/>
        </w:rPr>
        <w:t>practice n</w:t>
      </w:r>
      <w:r w:rsidR="009E3A4A" w:rsidRPr="00BD1D03">
        <w:rPr>
          <w:bCs/>
        </w:rPr>
        <w:t>urse</w:t>
      </w:r>
      <w:r w:rsidR="009E3A4A">
        <w:rPr>
          <w:bCs/>
        </w:rPr>
        <w:t xml:space="preserve"> ($75,000)</w:t>
      </w:r>
      <w:r w:rsidR="009E3A4A" w:rsidRPr="006912E5">
        <w:rPr>
          <w:bCs/>
        </w:rPr>
        <w:t xml:space="preserve"> </w:t>
      </w:r>
      <w:r w:rsidR="009E3A4A" w:rsidRPr="00BD1D03">
        <w:rPr>
          <w:bCs/>
        </w:rPr>
        <w:t xml:space="preserve">or $18,750 per quarter.  </w:t>
      </w:r>
    </w:p>
    <w:p w14:paraId="1E66A1F0" w14:textId="35571C3F" w:rsidR="004C1FAA" w:rsidRPr="004C1FAA" w:rsidRDefault="004C1FAA" w:rsidP="004C1FAA">
      <w:pPr>
        <w:rPr>
          <w:b/>
          <w:bCs/>
          <w:lang w:val="en-GB"/>
        </w:rPr>
      </w:pPr>
      <w:r w:rsidRPr="004C1FAA">
        <w:rPr>
          <w:b/>
          <w:bCs/>
        </w:rPr>
        <w:t xml:space="preserve">Scenario </w:t>
      </w:r>
      <w:r w:rsidR="00822E3F">
        <w:rPr>
          <w:b/>
          <w:bCs/>
        </w:rPr>
        <w:t>3 – registered nurses in rural area</w:t>
      </w:r>
    </w:p>
    <w:p w14:paraId="7AD73004" w14:textId="040CA337" w:rsidR="004C1FAA" w:rsidRPr="006912E5" w:rsidRDefault="004C1FAA" w:rsidP="006912E5">
      <w:pPr>
        <w:spacing w:line="360" w:lineRule="auto"/>
        <w:rPr>
          <w:bCs/>
        </w:rPr>
      </w:pPr>
      <w:r w:rsidRPr="004C1FAA">
        <w:rPr>
          <w:bCs/>
        </w:rPr>
        <w:t xml:space="preserve">The Greentown General Practice is in a rural location </w:t>
      </w:r>
      <w:r>
        <w:rPr>
          <w:bCs/>
        </w:rPr>
        <w:t>classified an</w:t>
      </w:r>
      <w:r w:rsidRPr="004C1FAA">
        <w:rPr>
          <w:bCs/>
        </w:rPr>
        <w:t xml:space="preserve"> RA3 Outer Regional area. A 30</w:t>
      </w:r>
      <w:r>
        <w:rPr>
          <w:bCs/>
        </w:rPr>
        <w:t>%</w:t>
      </w:r>
      <w:r w:rsidRPr="004C1FAA">
        <w:rPr>
          <w:bCs/>
        </w:rPr>
        <w:t xml:space="preserve"> loading is applied to this practice’s incentive as it is in a RA3 location. Greentown General Practice has a SWPE value of 2</w:t>
      </w:r>
      <w:r w:rsidR="00F52121">
        <w:rPr>
          <w:bCs/>
        </w:rPr>
        <w:t>,</w:t>
      </w:r>
      <w:r w:rsidRPr="004C1FAA">
        <w:rPr>
          <w:bCs/>
        </w:rPr>
        <w:t xml:space="preserve">000 and </w:t>
      </w:r>
      <w:r w:rsidR="00822E3F">
        <w:rPr>
          <w:bCs/>
        </w:rPr>
        <w:t>2</w:t>
      </w:r>
      <w:r w:rsidRPr="004C1FAA">
        <w:rPr>
          <w:bCs/>
        </w:rPr>
        <w:t xml:space="preserve"> </w:t>
      </w:r>
      <w:r w:rsidR="00822E3F">
        <w:rPr>
          <w:bCs/>
        </w:rPr>
        <w:t>registered nurses</w:t>
      </w:r>
      <w:r w:rsidRPr="004C1FAA">
        <w:rPr>
          <w:bCs/>
        </w:rPr>
        <w:t xml:space="preserve"> who job share working 25 hours 20 </w:t>
      </w:r>
      <w:r>
        <w:rPr>
          <w:bCs/>
        </w:rPr>
        <w:t xml:space="preserve">minutes per week between them. </w:t>
      </w:r>
    </w:p>
    <w:p w14:paraId="798CF1B0" w14:textId="6DE302BF" w:rsidR="00822E3F" w:rsidRDefault="004C1FAA" w:rsidP="006912E5">
      <w:pPr>
        <w:ind w:left="714" w:firstLine="0"/>
        <w:rPr>
          <w:bCs/>
        </w:rPr>
      </w:pPr>
      <w:r w:rsidRPr="004C1FAA">
        <w:rPr>
          <w:bCs/>
        </w:rPr>
        <w:t xml:space="preserve">The Greentown General Practice </w:t>
      </w:r>
      <w:r w:rsidRPr="004C1FAA">
        <w:rPr>
          <w:bCs/>
          <w:lang w:val="en-GB"/>
        </w:rPr>
        <w:t>is</w:t>
      </w:r>
      <w:r w:rsidRPr="004C1FAA">
        <w:rPr>
          <w:bCs/>
        </w:rPr>
        <w:t xml:space="preserve"> eligible for</w:t>
      </w:r>
      <w:r w:rsidR="00822E3F">
        <w:rPr>
          <w:bCs/>
        </w:rPr>
        <w:t xml:space="preserve"> the following incentive:</w:t>
      </w:r>
    </w:p>
    <w:p w14:paraId="2C5A0CE1" w14:textId="351A47AF" w:rsidR="004C1FAA" w:rsidRPr="004C1FAA" w:rsidRDefault="00822E3F" w:rsidP="006912E5">
      <w:pPr>
        <w:ind w:left="714" w:firstLine="0"/>
        <w:rPr>
          <w:b/>
          <w:bCs/>
        </w:rPr>
      </w:pPr>
      <w:r>
        <w:rPr>
          <w:bCs/>
        </w:rPr>
        <w:t>2 x registered nurses job-sharing ($50,000) + 30% rural loading ($15,000)</w:t>
      </w:r>
      <w:r w:rsidR="004C1FAA" w:rsidRPr="004C1FAA">
        <w:rPr>
          <w:bCs/>
        </w:rPr>
        <w:t xml:space="preserve"> </w:t>
      </w:r>
      <w:r>
        <w:rPr>
          <w:bCs/>
        </w:rPr>
        <w:t>=</w:t>
      </w:r>
      <w:r w:rsidR="004C1FAA" w:rsidRPr="004C1FAA">
        <w:rPr>
          <w:bCs/>
        </w:rPr>
        <w:t xml:space="preserve"> $65,000 per </w:t>
      </w:r>
      <w:r w:rsidR="004C1FAA" w:rsidRPr="004C1FAA">
        <w:rPr>
          <w:bCs/>
          <w:lang w:val="en-GB"/>
        </w:rPr>
        <w:t xml:space="preserve">year </w:t>
      </w:r>
      <w:r w:rsidR="004C1FAA" w:rsidRPr="004C1FAA">
        <w:rPr>
          <w:bCs/>
        </w:rPr>
        <w:t>or $16,250 per quarter.</w:t>
      </w:r>
    </w:p>
    <w:p w14:paraId="7BA19941" w14:textId="12120D45" w:rsidR="009E3A4A" w:rsidRDefault="00822E3F" w:rsidP="009E3A4A">
      <w:pPr>
        <w:rPr>
          <w:b/>
          <w:bCs/>
        </w:rPr>
      </w:pPr>
      <w:r>
        <w:rPr>
          <w:b/>
          <w:bCs/>
        </w:rPr>
        <w:t xml:space="preserve">Scenario 4 – </w:t>
      </w:r>
      <w:r w:rsidRPr="00873167">
        <w:rPr>
          <w:b/>
          <w:bCs/>
        </w:rPr>
        <w:t xml:space="preserve">Aboriginal and Torres Strait Islander </w:t>
      </w:r>
      <w:r w:rsidR="002E4553" w:rsidRPr="004A609F">
        <w:rPr>
          <w:b/>
          <w:bCs/>
        </w:rPr>
        <w:t>H</w:t>
      </w:r>
      <w:r w:rsidRPr="00873167">
        <w:rPr>
          <w:b/>
          <w:bCs/>
        </w:rPr>
        <w:t xml:space="preserve">ealth </w:t>
      </w:r>
      <w:r w:rsidR="002E4553" w:rsidRPr="004A609F">
        <w:rPr>
          <w:b/>
          <w:bCs/>
        </w:rPr>
        <w:t>W</w:t>
      </w:r>
      <w:r w:rsidRPr="00873167">
        <w:rPr>
          <w:b/>
          <w:bCs/>
        </w:rPr>
        <w:t>orkers</w:t>
      </w:r>
      <w:r>
        <w:rPr>
          <w:b/>
          <w:bCs/>
        </w:rPr>
        <w:t xml:space="preserve"> in rural area</w:t>
      </w:r>
    </w:p>
    <w:p w14:paraId="32BEDA99" w14:textId="6803469B" w:rsidR="00822E3F" w:rsidRPr="00822E3F" w:rsidRDefault="00822E3F" w:rsidP="006912E5">
      <w:r w:rsidRPr="00D16B39">
        <w:t>An Aboriginal Medical Service, which would have its SWPE value increased by 50</w:t>
      </w:r>
      <w:r>
        <w:t>%</w:t>
      </w:r>
      <w:r w:rsidRPr="00D16B39">
        <w:t xml:space="preserve">, </w:t>
      </w:r>
      <w:r w:rsidR="00BA04C0">
        <w:t>is in a RA3 Outer Regional area, which has</w:t>
      </w:r>
      <w:r w:rsidRPr="00D16B39">
        <w:t xml:space="preserve"> </w:t>
      </w:r>
      <w:r w:rsidR="00BA04C0">
        <w:t>a</w:t>
      </w:r>
      <w:r w:rsidRPr="00D16B39">
        <w:t xml:space="preserve"> 30</w:t>
      </w:r>
      <w:r>
        <w:t>%</w:t>
      </w:r>
      <w:r w:rsidRPr="00D16B39">
        <w:t xml:space="preserve"> loading</w:t>
      </w:r>
      <w:r>
        <w:t>.</w:t>
      </w:r>
    </w:p>
    <w:p w14:paraId="2A0D05F2" w14:textId="76F040E3" w:rsidR="00822E3F" w:rsidRPr="00DF2531" w:rsidRDefault="00822E3F" w:rsidP="006912E5">
      <w:r w:rsidRPr="00D16B39">
        <w:t>The Aboriginal Medical Service has a SWPE value of 2</w:t>
      </w:r>
      <w:r w:rsidR="00F52121">
        <w:t>,</w:t>
      </w:r>
      <w:r w:rsidRPr="00D16B39">
        <w:t xml:space="preserve">000 </w:t>
      </w:r>
      <w:r w:rsidR="00BA04C0" w:rsidRPr="00D16B39">
        <w:t>increased by 50</w:t>
      </w:r>
      <w:r w:rsidR="00BA04C0">
        <w:t xml:space="preserve">% </w:t>
      </w:r>
      <w:r w:rsidR="00BA04C0" w:rsidRPr="00D16B39">
        <w:t>to 3</w:t>
      </w:r>
      <w:r w:rsidR="00F52121">
        <w:t>,</w:t>
      </w:r>
      <w:r w:rsidR="00BA04C0" w:rsidRPr="00D16B39">
        <w:t>000</w:t>
      </w:r>
      <w:r w:rsidR="00BA04C0">
        <w:t>. It employs</w:t>
      </w:r>
      <w:r w:rsidRPr="00D16B39">
        <w:t xml:space="preserve"> </w:t>
      </w:r>
      <w:r>
        <w:t>3</w:t>
      </w:r>
      <w:r w:rsidRPr="00D16B39">
        <w:t xml:space="preserve"> </w:t>
      </w:r>
      <w:r w:rsidRPr="00873167">
        <w:t xml:space="preserve">Aboriginal and Torres Strait Islander </w:t>
      </w:r>
      <w:r w:rsidR="002E4553" w:rsidRPr="004A609F">
        <w:t>H</w:t>
      </w:r>
      <w:r w:rsidRPr="00873167">
        <w:t xml:space="preserve">ealth </w:t>
      </w:r>
      <w:r w:rsidR="002E4553" w:rsidRPr="004A609F">
        <w:t>W</w:t>
      </w:r>
      <w:r w:rsidRPr="00873167">
        <w:t>orkers</w:t>
      </w:r>
      <w:r w:rsidRPr="00D16B39">
        <w:t xml:space="preserve"> who each work 38 hours per week. </w:t>
      </w:r>
      <w:r w:rsidR="00BA04C0">
        <w:t xml:space="preserve"> </w:t>
      </w:r>
    </w:p>
    <w:p w14:paraId="60A1873C" w14:textId="77777777" w:rsidR="00BA04C0" w:rsidRDefault="00822E3F" w:rsidP="006912E5">
      <w:r w:rsidRPr="00D16B39">
        <w:t>The Aboriginal Medical Service is eligible for</w:t>
      </w:r>
      <w:r>
        <w:t xml:space="preserve"> the following</w:t>
      </w:r>
      <w:r w:rsidRPr="00D16B39">
        <w:t xml:space="preserve"> incentive</w:t>
      </w:r>
      <w:r w:rsidR="00BA04C0">
        <w:t>:</w:t>
      </w:r>
    </w:p>
    <w:p w14:paraId="50A9D43A" w14:textId="23844430" w:rsidR="00822E3F" w:rsidRPr="00D16B39" w:rsidRDefault="00BA04C0" w:rsidP="006912E5">
      <w:r>
        <w:t xml:space="preserve">3 x </w:t>
      </w:r>
      <w:r w:rsidRPr="00873167">
        <w:t xml:space="preserve">Aboriginal and Torres Strait Islander </w:t>
      </w:r>
      <w:r w:rsidR="002E4553" w:rsidRPr="004A609F">
        <w:t>H</w:t>
      </w:r>
      <w:r w:rsidRPr="00873167">
        <w:t xml:space="preserve">ealth </w:t>
      </w:r>
      <w:r w:rsidR="002E4553" w:rsidRPr="004A609F">
        <w:t>W</w:t>
      </w:r>
      <w:r w:rsidRPr="00873167">
        <w:t>orkers</w:t>
      </w:r>
      <w:r w:rsidRPr="00D16B39">
        <w:t xml:space="preserve"> </w:t>
      </w:r>
      <w:r>
        <w:t>(</w:t>
      </w:r>
      <w:r w:rsidR="00822E3F" w:rsidRPr="00D16B39">
        <w:t>$37</w:t>
      </w:r>
      <w:r w:rsidR="00822E3F">
        <w:t>,</w:t>
      </w:r>
      <w:r w:rsidR="00822E3F" w:rsidRPr="00D16B39">
        <w:t>500 per year</w:t>
      </w:r>
      <w:r>
        <w:t>)</w:t>
      </w:r>
      <w:r w:rsidR="00822E3F" w:rsidRPr="00D16B39">
        <w:t xml:space="preserve"> </w:t>
      </w:r>
      <w:r>
        <w:t>+ 30% rural loading ($11,250)</w:t>
      </w:r>
      <w:r w:rsidR="00822E3F" w:rsidRPr="00D16B39">
        <w:t xml:space="preserve"> </w:t>
      </w:r>
      <w:r>
        <w:t>=</w:t>
      </w:r>
      <w:r w:rsidR="00822E3F" w:rsidRPr="00D16B39">
        <w:t xml:space="preserve"> $48</w:t>
      </w:r>
      <w:r w:rsidR="00822E3F">
        <w:t>,</w:t>
      </w:r>
      <w:r w:rsidR="00822E3F" w:rsidRPr="00D16B39">
        <w:t>750 per year or $12</w:t>
      </w:r>
      <w:r w:rsidR="00822E3F">
        <w:t>,</w:t>
      </w:r>
      <w:r w:rsidR="00822E3F" w:rsidRPr="00D16B39">
        <w:t xml:space="preserve">187.50 per quarter.  </w:t>
      </w:r>
    </w:p>
    <w:p w14:paraId="39751CB4" w14:textId="60D065A6" w:rsidR="00BA04C0" w:rsidRPr="00BA04C0" w:rsidRDefault="00BA04C0" w:rsidP="00BA04C0">
      <w:pPr>
        <w:rPr>
          <w:b/>
          <w:bCs/>
          <w:lang w:val="en-GB"/>
        </w:rPr>
      </w:pPr>
      <w:r w:rsidRPr="00BA04C0">
        <w:rPr>
          <w:b/>
          <w:bCs/>
        </w:rPr>
        <w:lastRenderedPageBreak/>
        <w:t xml:space="preserve">Scenario </w:t>
      </w:r>
      <w:r w:rsidR="00F52121">
        <w:rPr>
          <w:b/>
          <w:bCs/>
        </w:rPr>
        <w:t>5 – GPs and practice nurses</w:t>
      </w:r>
    </w:p>
    <w:p w14:paraId="5CDAE873" w14:textId="1C5C5544" w:rsidR="00BA04C0" w:rsidRPr="00BA04C0" w:rsidRDefault="00BA04C0" w:rsidP="00BA04C0">
      <w:r w:rsidRPr="00BA04C0">
        <w:t>The Greytown General Practice employs 15 GPs working various hours, has a SWPE value of 7</w:t>
      </w:r>
      <w:r w:rsidR="00F52121">
        <w:t>,</w:t>
      </w:r>
      <w:r w:rsidRPr="00BA04C0">
        <w:t xml:space="preserve">250 and employs </w:t>
      </w:r>
      <w:r w:rsidR="00F52121">
        <w:t>3</w:t>
      </w:r>
      <w:r w:rsidRPr="00BA04C0">
        <w:t xml:space="preserve"> </w:t>
      </w:r>
      <w:r w:rsidR="00F52121">
        <w:t>practice n</w:t>
      </w:r>
      <w:r w:rsidRPr="00BA04C0">
        <w:t>urses for 55 hours per week (</w:t>
      </w:r>
      <w:r w:rsidR="00F52121">
        <w:t>2</w:t>
      </w:r>
      <w:r w:rsidRPr="00BA04C0">
        <w:t xml:space="preserve"> </w:t>
      </w:r>
      <w:r w:rsidR="00F52121">
        <w:t>registered nurse</w:t>
      </w:r>
      <w:r w:rsidRPr="00BA04C0">
        <w:t xml:space="preserve">s working 20 hours per week and </w:t>
      </w:r>
      <w:r w:rsidR="00F52121">
        <w:t>1 enrolled nurse</w:t>
      </w:r>
      <w:r w:rsidRPr="00BA04C0">
        <w:t xml:space="preserve"> working 15 hours per week). </w:t>
      </w:r>
    </w:p>
    <w:p w14:paraId="0C9CC271" w14:textId="2E1B0565" w:rsidR="00BA04C0" w:rsidRPr="00BA04C0" w:rsidRDefault="00BA04C0" w:rsidP="00BA04C0">
      <w:pPr>
        <w:rPr>
          <w:b/>
          <w:bCs/>
        </w:rPr>
      </w:pPr>
      <w:r w:rsidRPr="00BA04C0">
        <w:t>The SWPE value for the Greytown General Practice is capped at 5</w:t>
      </w:r>
      <w:r w:rsidR="00F52121">
        <w:t>,</w:t>
      </w:r>
      <w:r w:rsidRPr="00BA04C0">
        <w:t xml:space="preserve">000 and the practice is eligible for a payment totalling $93,750 per year or $23,438 per quarter.  </w:t>
      </w:r>
    </w:p>
    <w:p w14:paraId="39AFAAB1" w14:textId="1E2D0DC2" w:rsidR="00BA04C0" w:rsidRPr="00BA04C0" w:rsidRDefault="00BA04C0" w:rsidP="00BA04C0">
      <w:pPr>
        <w:rPr>
          <w:b/>
          <w:bCs/>
        </w:rPr>
      </w:pPr>
      <w:r w:rsidRPr="00BA04C0">
        <w:rPr>
          <w:b/>
          <w:bCs/>
        </w:rPr>
        <w:t xml:space="preserve">Scenario </w:t>
      </w:r>
      <w:r w:rsidR="009370FB">
        <w:rPr>
          <w:b/>
          <w:bCs/>
        </w:rPr>
        <w:t>6</w:t>
      </w:r>
      <w:r w:rsidRPr="00BA04C0">
        <w:rPr>
          <w:b/>
          <w:bCs/>
        </w:rPr>
        <w:t xml:space="preserve"> </w:t>
      </w:r>
      <w:r w:rsidR="008D7A53">
        <w:rPr>
          <w:b/>
          <w:bCs/>
        </w:rPr>
        <w:t>–</w:t>
      </w:r>
      <w:r w:rsidR="00F52121">
        <w:rPr>
          <w:b/>
          <w:bCs/>
        </w:rPr>
        <w:t xml:space="preserve"> </w:t>
      </w:r>
      <w:r w:rsidR="008D7A53">
        <w:rPr>
          <w:b/>
          <w:bCs/>
        </w:rPr>
        <w:t>GPs and practice nurses</w:t>
      </w:r>
    </w:p>
    <w:p w14:paraId="23341F25" w14:textId="1D98A89C" w:rsidR="00BA04C0" w:rsidRPr="00BA04C0" w:rsidRDefault="00BA04C0" w:rsidP="00BA04C0">
      <w:pPr>
        <w:rPr>
          <w:b/>
          <w:bCs/>
        </w:rPr>
      </w:pPr>
      <w:r w:rsidRPr="00BA04C0">
        <w:t xml:space="preserve">The Pinktown General Practice employs </w:t>
      </w:r>
      <w:r w:rsidR="008D7A53">
        <w:t>7</w:t>
      </w:r>
      <w:r w:rsidRPr="00BA04C0">
        <w:t xml:space="preserve"> GPs working various hours, has a SWPE value of 5</w:t>
      </w:r>
      <w:r w:rsidR="00F52121">
        <w:t>,</w:t>
      </w:r>
      <w:r w:rsidRPr="00BA04C0">
        <w:t xml:space="preserve">456 and employs </w:t>
      </w:r>
      <w:r w:rsidR="00F52121">
        <w:t>2</w:t>
      </w:r>
      <w:r w:rsidRPr="00BA04C0">
        <w:t xml:space="preserve"> </w:t>
      </w:r>
      <w:r w:rsidR="00F52121">
        <w:t>registered nurses</w:t>
      </w:r>
      <w:r w:rsidRPr="00BA04C0">
        <w:t xml:space="preserve"> for a total of 69 hours per week.</w:t>
      </w:r>
    </w:p>
    <w:p w14:paraId="2C0BF0CD" w14:textId="1B8A2420" w:rsidR="008D7A53" w:rsidRDefault="00BA04C0" w:rsidP="00BA04C0">
      <w:r w:rsidRPr="00BA04C0">
        <w:t>The SWPE value for the Pinktown General Practice is capped at 5</w:t>
      </w:r>
      <w:r w:rsidR="00F52121">
        <w:t>,</w:t>
      </w:r>
      <w:r w:rsidRPr="00BA04C0">
        <w:t>000</w:t>
      </w:r>
      <w:r w:rsidR="008D7A53">
        <w:t>.</w:t>
      </w:r>
    </w:p>
    <w:p w14:paraId="68D36383" w14:textId="7EB06794" w:rsidR="00BA04C0" w:rsidRPr="006912E5" w:rsidRDefault="008D7A53" w:rsidP="008D7A53">
      <w:r w:rsidRPr="008D7A53">
        <w:t>The Pinktown General Practice</w:t>
      </w:r>
      <w:r>
        <w:t xml:space="preserve"> is eligible for the following incentive:</w:t>
      </w:r>
      <w:r>
        <w:br/>
        <w:t xml:space="preserve">7 x GPs and 2 x registered nurses = $125,000 per year or </w:t>
      </w:r>
      <w:r w:rsidRPr="00BA04C0">
        <w:t>$31,250 per quarter</w:t>
      </w:r>
    </w:p>
    <w:p w14:paraId="6709630A" w14:textId="6CF26C78" w:rsidR="00B62FF8" w:rsidRDefault="00302EA3" w:rsidP="003B7BF0">
      <w:pPr>
        <w:pStyle w:val="Heading2"/>
      </w:pPr>
      <w:bookmarkStart w:id="36" w:name="_Toc490491622"/>
      <w:r>
        <w:t>When payments are made</w:t>
      </w:r>
      <w:bookmarkEnd w:id="36"/>
    </w:p>
    <w:p w14:paraId="6E29770F" w14:textId="4FDE9E67" w:rsidR="00B62FF8" w:rsidRDefault="00302EA3" w:rsidP="00BE3886">
      <w:r>
        <w:t xml:space="preserve">Payments </w:t>
      </w:r>
      <w:r w:rsidR="00852EBF">
        <w:t>are</w:t>
      </w:r>
      <w:r>
        <w:t xml:space="preserve"> calculated and paid retrospectively </w:t>
      </w:r>
      <w:r w:rsidR="00852EBF">
        <w:t>per</w:t>
      </w:r>
      <w:r>
        <w:t xml:space="preserve"> quarter.</w:t>
      </w:r>
    </w:p>
    <w:p w14:paraId="47C96107" w14:textId="161B737A" w:rsidR="00B62FF8" w:rsidRDefault="00302EA3" w:rsidP="00BE3886">
      <w:r>
        <w:t>Payments are made by electronic funds transfer to the account nominated by the practice in the</w:t>
      </w:r>
      <w:r w:rsidR="006252F1">
        <w:t xml:space="preserve"> Practice Nurse Incentive Program</w:t>
      </w:r>
      <w:r>
        <w:t xml:space="preserve"> </w:t>
      </w:r>
      <w:r w:rsidR="006252F1">
        <w:t>(</w:t>
      </w:r>
      <w:r>
        <w:t>PNIP</w:t>
      </w:r>
      <w:r w:rsidR="006252F1">
        <w:t>)</w:t>
      </w:r>
      <w:r>
        <w:t xml:space="preserve"> application, and do not attract </w:t>
      </w:r>
      <w:r w:rsidR="00FB2680">
        <w:t>g</w:t>
      </w:r>
      <w:r>
        <w:t xml:space="preserve">oods and </w:t>
      </w:r>
      <w:r w:rsidR="00FB2680">
        <w:t>s</w:t>
      </w:r>
      <w:r>
        <w:t xml:space="preserve">ervices </w:t>
      </w:r>
      <w:r w:rsidR="00FB2680">
        <w:t>t</w:t>
      </w:r>
      <w:r>
        <w:t>ax.</w:t>
      </w:r>
    </w:p>
    <w:p w14:paraId="3B806791" w14:textId="77B54730" w:rsidR="00865C0F" w:rsidRDefault="00302EA3" w:rsidP="00BE3886">
      <w:r>
        <w:t>To qualify for payments, practices must have their application approved</w:t>
      </w:r>
      <w:r w:rsidR="00865C0F">
        <w:t xml:space="preserve"> and be eligible</w:t>
      </w:r>
      <w:r>
        <w:t xml:space="preserve"> for the PNIP </w:t>
      </w:r>
      <w:r w:rsidR="008610A2">
        <w:t xml:space="preserve">and be eligible </w:t>
      </w:r>
      <w:r>
        <w:t xml:space="preserve">by the </w:t>
      </w:r>
      <w:r w:rsidR="00F15D28">
        <w:t>‘</w:t>
      </w:r>
      <w:r>
        <w:t>point-in-time</w:t>
      </w:r>
      <w:r w:rsidR="00F15D28">
        <w:t>’</w:t>
      </w:r>
      <w:r>
        <w:t xml:space="preserve"> date. </w:t>
      </w:r>
    </w:p>
    <w:p w14:paraId="661D8E42" w14:textId="2438B550" w:rsidR="00B62FF8" w:rsidRDefault="00302EA3" w:rsidP="00BE3886">
      <w:r>
        <w:t xml:space="preserve">Practices are eligible from the date of approval, not from the date </w:t>
      </w:r>
      <w:r w:rsidR="00FB2680">
        <w:t>they lodged their application</w:t>
      </w:r>
      <w:r>
        <w:t>.</w:t>
      </w:r>
    </w:p>
    <w:p w14:paraId="379BFDB5" w14:textId="6647126C" w:rsidR="0031648E" w:rsidRPr="00703D74" w:rsidRDefault="00616E59" w:rsidP="0036652A">
      <w:pPr>
        <w:pStyle w:val="Heading3"/>
        <w:rPr>
          <w:rStyle w:val="Heading3Char"/>
        </w:rPr>
      </w:pPr>
      <w:bookmarkStart w:id="37" w:name="_Toc490491623"/>
      <w:r>
        <w:rPr>
          <w:rStyle w:val="Heading3Char"/>
        </w:rPr>
        <w:t>Quarterly confirmation statements</w:t>
      </w:r>
      <w:bookmarkEnd w:id="37"/>
    </w:p>
    <w:p w14:paraId="4B57DCD1" w14:textId="1053BAC8" w:rsidR="00616E59" w:rsidRDefault="0031648E" w:rsidP="00616E59">
      <w:r>
        <w:t xml:space="preserve">We will </w:t>
      </w:r>
      <w:r w:rsidR="00616E59">
        <w:t>send a</w:t>
      </w:r>
      <w:r>
        <w:t xml:space="preserve"> quarterly confirmation statement</w:t>
      </w:r>
      <w:r w:rsidR="00616E59">
        <w:t xml:space="preserve"> (QCS)</w:t>
      </w:r>
      <w:r>
        <w:t xml:space="preserve"> to all practices </w:t>
      </w:r>
      <w:r w:rsidR="00865C0F">
        <w:t xml:space="preserve">approved for </w:t>
      </w:r>
      <w:r>
        <w:t xml:space="preserve">PNIP. </w:t>
      </w:r>
    </w:p>
    <w:p w14:paraId="4D943F94" w14:textId="39121A0A" w:rsidR="00616E59" w:rsidRPr="0033651F" w:rsidRDefault="00616E59" w:rsidP="00616E59">
      <w:r w:rsidRPr="0033651F">
        <w:t xml:space="preserve">Practices </w:t>
      </w:r>
      <w:r>
        <w:t>need to</w:t>
      </w:r>
      <w:r w:rsidRPr="0033651F">
        <w:t xml:space="preserve"> complete their QCS before PNIP payments can be released.</w:t>
      </w:r>
    </w:p>
    <w:p w14:paraId="353291DA" w14:textId="2E9089AB" w:rsidR="00616E59" w:rsidRPr="0033651F" w:rsidRDefault="00616E59" w:rsidP="00616E59">
      <w:r w:rsidRPr="0033651F">
        <w:t xml:space="preserve">We provide </w:t>
      </w:r>
      <w:r>
        <w:t xml:space="preserve">the </w:t>
      </w:r>
      <w:r w:rsidRPr="0033651F">
        <w:t>QCS through Health Professional Online Services (HPOS) or mail, to all approved practices each quarter – unless approved during the payment quarter. Practices should receive their QCS by the 15</w:t>
      </w:r>
      <w:r w:rsidRPr="0033651F">
        <w:rPr>
          <w:vertAlign w:val="superscript"/>
        </w:rPr>
        <w:t>th</w:t>
      </w:r>
      <w:r w:rsidRPr="0033651F">
        <w:t xml:space="preserve"> day of the point-in-time month. </w:t>
      </w:r>
      <w:r w:rsidR="00226AF7">
        <w:t>C</w:t>
      </w:r>
      <w:r w:rsidRPr="00571022">
        <w:t xml:space="preserve">all the </w:t>
      </w:r>
      <w:hyperlink r:id="rId10" w:history="1">
        <w:r w:rsidRPr="004C32F0">
          <w:rPr>
            <w:rStyle w:val="Hyperlink"/>
          </w:rPr>
          <w:t>Incentive Programs enquiry line</w:t>
        </w:r>
      </w:hyperlink>
      <w:r w:rsidR="00226AF7">
        <w:t xml:space="preserve"> if this hasn’</w:t>
      </w:r>
      <w:r w:rsidR="00A114B1">
        <w:t>t been received by the due date.</w:t>
      </w:r>
    </w:p>
    <w:p w14:paraId="4AD77E87" w14:textId="507A06F0" w:rsidR="00616E59" w:rsidRPr="0033651F" w:rsidRDefault="00616E59" w:rsidP="00616E59">
      <w:r w:rsidRPr="0033651F">
        <w:t xml:space="preserve">Practices need to </w:t>
      </w:r>
      <w:r w:rsidRPr="00E90DA9">
        <w:t>confirm</w:t>
      </w:r>
      <w:r w:rsidRPr="0033651F">
        <w:t xml:space="preserve"> their details, </w:t>
      </w:r>
      <w:r>
        <w:t>including</w:t>
      </w:r>
      <w:r w:rsidRPr="0033651F">
        <w:t xml:space="preserve"> any changes in practice arrangements</w:t>
      </w:r>
      <w:r>
        <w:t xml:space="preserve"> such as</w:t>
      </w:r>
      <w:r w:rsidRPr="0033651F">
        <w:t xml:space="preserve"> the hours worked, in the QCS to receive their quarterly payment. The QCS must be completed by an authorised contact person or practice owner.</w:t>
      </w:r>
      <w:r>
        <w:t xml:space="preserve"> </w:t>
      </w:r>
    </w:p>
    <w:p w14:paraId="481DDC01" w14:textId="77777777" w:rsidR="00616E59" w:rsidRPr="0033651F" w:rsidRDefault="00616E59" w:rsidP="00616E59">
      <w:r w:rsidRPr="0033651F">
        <w:t xml:space="preserve">Practices can: </w:t>
      </w:r>
    </w:p>
    <w:p w14:paraId="3C8DFFD6" w14:textId="6B11C764" w:rsidR="00616E59" w:rsidRPr="0033651F" w:rsidRDefault="00616E59" w:rsidP="00616E59">
      <w:pPr>
        <w:pStyle w:val="PNIPbullets"/>
      </w:pPr>
      <w:r w:rsidRPr="0033651F">
        <w:t xml:space="preserve">submit their QCS </w:t>
      </w:r>
      <w:r w:rsidR="006252F1">
        <w:t xml:space="preserve">and changes to practice arrangements </w:t>
      </w:r>
      <w:r w:rsidRPr="0033651F">
        <w:t xml:space="preserve">through HPOS by the relevant point-in-time date, or </w:t>
      </w:r>
    </w:p>
    <w:p w14:paraId="2E9C76AE" w14:textId="2B96BB30" w:rsidR="00616E59" w:rsidRPr="0033651F" w:rsidRDefault="00616E59" w:rsidP="00616E59">
      <w:pPr>
        <w:pStyle w:val="PNIPbullets"/>
      </w:pPr>
      <w:r w:rsidRPr="0033651F">
        <w:t xml:space="preserve">fax the completed QCS </w:t>
      </w:r>
      <w:r w:rsidR="00505BB0">
        <w:t xml:space="preserve">and changes to practice arrangements </w:t>
      </w:r>
      <w:r w:rsidRPr="0033651F">
        <w:t>to Incentive</w:t>
      </w:r>
      <w:r w:rsidR="007E47BA">
        <w:t>s</w:t>
      </w:r>
      <w:r w:rsidRPr="0033651F">
        <w:t xml:space="preserve"> Programs for manual processing at least 7 days before the relevant point-in-time date</w:t>
      </w:r>
      <w:r w:rsidRPr="00571022">
        <w:t xml:space="preserve"> to be </w:t>
      </w:r>
      <w:r w:rsidR="00505BB0">
        <w:t xml:space="preserve">assessed for </w:t>
      </w:r>
      <w:r w:rsidRPr="00571022">
        <w:t xml:space="preserve"> payment</w:t>
      </w:r>
    </w:p>
    <w:p w14:paraId="64718DBD" w14:textId="254AE31C" w:rsidR="00616E59" w:rsidRPr="0033651F" w:rsidRDefault="00616E59" w:rsidP="00616E59">
      <w:r w:rsidRPr="0033651F">
        <w:t xml:space="preserve">If a practice does not return a fully completed QCS by the point-in-time, the practice’s payment will be withheld until the QCS has been returned. </w:t>
      </w:r>
      <w:r w:rsidR="006252F1">
        <w:t>Once received</w:t>
      </w:r>
      <w:r w:rsidR="00DB4B3A">
        <w:t>,</w:t>
      </w:r>
      <w:r w:rsidR="006252F1">
        <w:t xml:space="preserve"> </w:t>
      </w:r>
      <w:r w:rsidR="00505BB0">
        <w:t xml:space="preserve">the </w:t>
      </w:r>
      <w:r w:rsidR="006252F1">
        <w:t>QCS will be assessed for payment.</w:t>
      </w:r>
      <w:r w:rsidRPr="0033651F">
        <w:t xml:space="preserve"> </w:t>
      </w:r>
    </w:p>
    <w:p w14:paraId="17147B45" w14:textId="77777777" w:rsidR="009A6A8C" w:rsidRPr="009A6A8C" w:rsidRDefault="009A6A8C" w:rsidP="0036652A">
      <w:pPr>
        <w:pStyle w:val="Heading3"/>
      </w:pPr>
      <w:bookmarkStart w:id="38" w:name="_Toc437932769"/>
      <w:bookmarkStart w:id="39" w:name="_Toc454456863"/>
      <w:bookmarkStart w:id="40" w:name="_Toc490491624"/>
      <w:r w:rsidRPr="009A6A8C">
        <w:lastRenderedPageBreak/>
        <w:t>Withheld payments</w:t>
      </w:r>
      <w:bookmarkEnd w:id="38"/>
      <w:bookmarkEnd w:id="39"/>
      <w:bookmarkEnd w:id="40"/>
    </w:p>
    <w:p w14:paraId="07C9CC81" w14:textId="5A649C58" w:rsidR="009A6A8C" w:rsidRPr="009A6A8C" w:rsidRDefault="009A6A8C" w:rsidP="009A6A8C">
      <w:pPr>
        <w:rPr>
          <w:b/>
          <w:bCs/>
          <w:lang w:val="en-GB"/>
        </w:rPr>
      </w:pPr>
      <w:r>
        <w:t>We may withhold</w:t>
      </w:r>
      <w:r w:rsidRPr="009A6A8C">
        <w:t xml:space="preserve"> </w:t>
      </w:r>
      <w:r>
        <w:t>payments</w:t>
      </w:r>
      <w:r w:rsidRPr="009A6A8C">
        <w:t xml:space="preserve"> for a number of reasons</w:t>
      </w:r>
      <w:r w:rsidR="00CE2B76">
        <w:t xml:space="preserve"> including:</w:t>
      </w:r>
      <w:r>
        <w:t xml:space="preserve"> </w:t>
      </w:r>
    </w:p>
    <w:p w14:paraId="63B71A72" w14:textId="70CEF984" w:rsidR="009A6A8C" w:rsidRPr="009A6A8C" w:rsidRDefault="009A6A8C" w:rsidP="00283DEF">
      <w:pPr>
        <w:pStyle w:val="PNIPbullets"/>
        <w:rPr>
          <w:b/>
          <w:bCs/>
          <w:lang w:val="en-GB"/>
        </w:rPr>
      </w:pPr>
      <w:r w:rsidRPr="009A6A8C">
        <w:t xml:space="preserve">the practice no longer employs a </w:t>
      </w:r>
      <w:r w:rsidR="007E47BA">
        <w:t>g</w:t>
      </w:r>
      <w:r w:rsidR="00797A41">
        <w:t xml:space="preserve">eneral </w:t>
      </w:r>
      <w:r w:rsidR="007E47BA">
        <w:t>p</w:t>
      </w:r>
      <w:r w:rsidR="00797A41">
        <w:t xml:space="preserve">ractitioner </w:t>
      </w:r>
    </w:p>
    <w:p w14:paraId="027E805A" w14:textId="487A31B8" w:rsidR="009A6A8C" w:rsidRPr="009A6A8C" w:rsidRDefault="009A6A8C" w:rsidP="00283DEF">
      <w:pPr>
        <w:pStyle w:val="PNIPbullets"/>
        <w:rPr>
          <w:b/>
          <w:bCs/>
          <w:lang w:val="en-GB"/>
        </w:rPr>
      </w:pPr>
      <w:r w:rsidRPr="009A6A8C">
        <w:t xml:space="preserve">the practice no longer employs or otherwise retains an </w:t>
      </w:r>
      <w:r>
        <w:t>e</w:t>
      </w:r>
      <w:r w:rsidRPr="009A6A8C">
        <w:t xml:space="preserve">ligible </w:t>
      </w:r>
      <w:r>
        <w:t>h</w:t>
      </w:r>
      <w:r w:rsidRPr="009A6A8C">
        <w:t xml:space="preserve">ealth </w:t>
      </w:r>
      <w:r>
        <w:t>p</w:t>
      </w:r>
      <w:r w:rsidRPr="009A6A8C">
        <w:t>rofessional</w:t>
      </w:r>
    </w:p>
    <w:p w14:paraId="4A0EB69D" w14:textId="4F85A41B" w:rsidR="009A6A8C" w:rsidRPr="009A6A8C" w:rsidRDefault="009A6A8C" w:rsidP="00283DEF">
      <w:pPr>
        <w:pStyle w:val="PNIPbullets"/>
        <w:rPr>
          <w:b/>
          <w:bCs/>
          <w:lang w:val="en-GB"/>
        </w:rPr>
      </w:pPr>
      <w:r w:rsidRPr="009A6A8C">
        <w:t xml:space="preserve">an </w:t>
      </w:r>
      <w:r>
        <w:t>enrolled n</w:t>
      </w:r>
      <w:r w:rsidRPr="009A6A8C">
        <w:t xml:space="preserve">urse is not supervised by a </w:t>
      </w:r>
      <w:r>
        <w:rPr>
          <w:lang w:val="en-GB"/>
        </w:rPr>
        <w:t>r</w:t>
      </w:r>
      <w:r w:rsidRPr="009A6A8C">
        <w:rPr>
          <w:lang w:val="en-GB"/>
        </w:rPr>
        <w:t xml:space="preserve">egistered </w:t>
      </w:r>
      <w:r>
        <w:rPr>
          <w:lang w:val="en-GB"/>
        </w:rPr>
        <w:t>n</w:t>
      </w:r>
      <w:r w:rsidRPr="009A6A8C">
        <w:rPr>
          <w:lang w:val="en-GB"/>
        </w:rPr>
        <w:t>urse (either directly or indirectly)</w:t>
      </w:r>
    </w:p>
    <w:p w14:paraId="31808E8A" w14:textId="374A3461" w:rsidR="009A6A8C" w:rsidRPr="009A6A8C" w:rsidRDefault="009A6A8C" w:rsidP="00283DEF">
      <w:pPr>
        <w:pStyle w:val="PNIPbullets"/>
        <w:rPr>
          <w:b/>
          <w:bCs/>
          <w:lang w:val="en-GB"/>
        </w:rPr>
      </w:pPr>
      <w:r>
        <w:t xml:space="preserve">there has been </w:t>
      </w:r>
      <w:r w:rsidRPr="009A6A8C">
        <w:t>a change of practice ownership</w:t>
      </w:r>
    </w:p>
    <w:p w14:paraId="2BE90506" w14:textId="683A479F" w:rsidR="009A6A8C" w:rsidRPr="009A6A8C" w:rsidRDefault="009A6A8C" w:rsidP="00283DEF">
      <w:pPr>
        <w:pStyle w:val="PNIPbullets"/>
        <w:rPr>
          <w:b/>
          <w:bCs/>
          <w:lang w:val="en-GB"/>
        </w:rPr>
      </w:pPr>
      <w:r w:rsidRPr="009A6A8C">
        <w:t>non-compliance</w:t>
      </w:r>
    </w:p>
    <w:p w14:paraId="25727632" w14:textId="46A06EC8" w:rsidR="009A6A8C" w:rsidRPr="009A6A8C" w:rsidRDefault="009A6A8C" w:rsidP="00283DEF">
      <w:pPr>
        <w:pStyle w:val="PNIPbullets"/>
        <w:rPr>
          <w:b/>
          <w:bCs/>
          <w:lang w:val="en-GB"/>
        </w:rPr>
      </w:pPr>
      <w:r>
        <w:t>the practice’s</w:t>
      </w:r>
      <w:r w:rsidRPr="009A6A8C">
        <w:t xml:space="preserve"> accreditation</w:t>
      </w:r>
      <w:r>
        <w:t xml:space="preserve"> has expired</w:t>
      </w:r>
    </w:p>
    <w:p w14:paraId="332D2CCA" w14:textId="18C404DD" w:rsidR="009A6A8C" w:rsidRPr="009A6A8C" w:rsidRDefault="009A6A8C" w:rsidP="00283DEF">
      <w:pPr>
        <w:pStyle w:val="PNIPbullets"/>
        <w:rPr>
          <w:b/>
          <w:bCs/>
          <w:lang w:val="en-GB"/>
        </w:rPr>
      </w:pPr>
      <w:r>
        <w:t>the</w:t>
      </w:r>
      <w:r w:rsidRPr="009A6A8C">
        <w:t xml:space="preserve"> practice</w:t>
      </w:r>
      <w:r>
        <w:t xml:space="preserve"> has relocated</w:t>
      </w:r>
    </w:p>
    <w:p w14:paraId="671C05F1" w14:textId="7D35D5C6" w:rsidR="009A6A8C" w:rsidRPr="009A6A8C" w:rsidRDefault="009A6A8C" w:rsidP="00283DEF">
      <w:pPr>
        <w:pStyle w:val="PNIPbullets"/>
        <w:rPr>
          <w:b/>
          <w:bCs/>
          <w:lang w:val="en-GB"/>
        </w:rPr>
      </w:pPr>
      <w:r w:rsidRPr="009A6A8C">
        <w:t xml:space="preserve">the practice </w:t>
      </w:r>
      <w:r>
        <w:t>did</w:t>
      </w:r>
      <w:r w:rsidRPr="009A6A8C">
        <w:t xml:space="preserve"> not achieve full accreditation within 12 months of joining the PNIP </w:t>
      </w:r>
      <w:r w:rsidR="00365046">
        <w:t>–</w:t>
      </w:r>
      <w:r>
        <w:t xml:space="preserve"> </w:t>
      </w:r>
      <w:r w:rsidRPr="009A6A8C">
        <w:t>or</w:t>
      </w:r>
      <w:r w:rsidR="00365046">
        <w:t>,</w:t>
      </w:r>
      <w:r w:rsidRPr="009A6A8C">
        <w:t xml:space="preserve"> for a </w:t>
      </w:r>
      <w:r w:rsidRPr="009A6A8C">
        <w:rPr>
          <w:lang w:val="en-GB"/>
        </w:rPr>
        <w:t>P</w:t>
      </w:r>
      <w:r w:rsidR="00797A41">
        <w:rPr>
          <w:lang w:val="en-GB"/>
        </w:rPr>
        <w:t>ractice Incentives Program (P</w:t>
      </w:r>
      <w:r w:rsidRPr="009A6A8C">
        <w:rPr>
          <w:lang w:val="en-GB"/>
        </w:rPr>
        <w:t>IP</w:t>
      </w:r>
      <w:r w:rsidR="00797A41">
        <w:rPr>
          <w:lang w:val="en-GB"/>
        </w:rPr>
        <w:t>)</w:t>
      </w:r>
      <w:r w:rsidRPr="009A6A8C">
        <w:rPr>
          <w:lang w:val="en-GB"/>
        </w:rPr>
        <w:t xml:space="preserve"> consenting practice</w:t>
      </w:r>
      <w:r>
        <w:rPr>
          <w:lang w:val="en-GB"/>
        </w:rPr>
        <w:t>,</w:t>
      </w:r>
      <w:r w:rsidRPr="009A6A8C">
        <w:rPr>
          <w:lang w:val="en-GB"/>
        </w:rPr>
        <w:t xml:space="preserve"> full accreditation </w:t>
      </w:r>
      <w:r>
        <w:rPr>
          <w:lang w:val="en-GB"/>
        </w:rPr>
        <w:t xml:space="preserve">was not achieved </w:t>
      </w:r>
      <w:r w:rsidRPr="009A6A8C">
        <w:rPr>
          <w:lang w:val="en-GB"/>
        </w:rPr>
        <w:t>with</w:t>
      </w:r>
      <w:r>
        <w:rPr>
          <w:lang w:val="en-GB"/>
        </w:rPr>
        <w:t>in 12 months of joining the PIP</w:t>
      </w:r>
    </w:p>
    <w:p w14:paraId="391CD01C" w14:textId="61391B2F" w:rsidR="009A6A8C" w:rsidRPr="009A6A8C" w:rsidRDefault="009A6A8C" w:rsidP="00283DEF">
      <w:pPr>
        <w:pStyle w:val="PNIPbullets"/>
        <w:rPr>
          <w:b/>
          <w:bCs/>
          <w:lang w:val="en-GB"/>
        </w:rPr>
      </w:pPr>
      <w:r>
        <w:t xml:space="preserve">there have been </w:t>
      </w:r>
      <w:r w:rsidRPr="009A6A8C">
        <w:t>significant changes in practice data</w:t>
      </w:r>
    </w:p>
    <w:p w14:paraId="216888AE" w14:textId="66D4C299" w:rsidR="009A6A8C" w:rsidRPr="004A609F" w:rsidRDefault="009A6A8C" w:rsidP="00283DEF">
      <w:pPr>
        <w:pStyle w:val="PNIPbullets"/>
        <w:rPr>
          <w:b/>
          <w:bCs/>
          <w:lang w:val="en-GB"/>
        </w:rPr>
      </w:pPr>
      <w:r w:rsidRPr="009A6A8C">
        <w:t>the practice or health professionals do not have the required insurances</w:t>
      </w:r>
    </w:p>
    <w:p w14:paraId="42505221" w14:textId="1DC33B10" w:rsidR="009A6A8C" w:rsidRPr="009A6A8C" w:rsidRDefault="009A6A8C" w:rsidP="00283DEF">
      <w:pPr>
        <w:pStyle w:val="PNIPbullets"/>
        <w:rPr>
          <w:b/>
          <w:bCs/>
          <w:lang w:val="en-GB"/>
        </w:rPr>
      </w:pPr>
      <w:r>
        <w:t xml:space="preserve">there are </w:t>
      </w:r>
      <w:r w:rsidRPr="009A6A8C">
        <w:t>incomplete or inaccurate practice details</w:t>
      </w:r>
      <w:r>
        <w:t>,</w:t>
      </w:r>
      <w:r w:rsidRPr="009A6A8C">
        <w:t xml:space="preserve"> and/or</w:t>
      </w:r>
    </w:p>
    <w:p w14:paraId="5CB5E150" w14:textId="078CBA0D" w:rsidR="00365046" w:rsidRPr="009A6A8C" w:rsidRDefault="00365046" w:rsidP="00283DEF">
      <w:pPr>
        <w:pStyle w:val="PNIPbullets"/>
        <w:rPr>
          <w:b/>
          <w:bCs/>
          <w:lang w:val="en-GB"/>
        </w:rPr>
      </w:pPr>
      <w:r>
        <w:t>the practice failed to return the completed quarterly confirmation statement by the relevant point-in-time date</w:t>
      </w:r>
    </w:p>
    <w:p w14:paraId="54720CB0" w14:textId="57E37127" w:rsidR="009A6A8C" w:rsidRPr="009A6A8C" w:rsidRDefault="00365046" w:rsidP="009A6A8C">
      <w:pPr>
        <w:rPr>
          <w:lang w:val="en-GB"/>
        </w:rPr>
      </w:pPr>
      <w:r>
        <w:t xml:space="preserve">If </w:t>
      </w:r>
      <w:r w:rsidR="0047435F">
        <w:t>a practice’s</w:t>
      </w:r>
      <w:r>
        <w:t xml:space="preserve"> payment has been withheld, we</w:t>
      </w:r>
      <w:r w:rsidR="009A6A8C" w:rsidRPr="009A6A8C">
        <w:t xml:space="preserve"> will </w:t>
      </w:r>
      <w:r>
        <w:rPr>
          <w:lang w:val="en-GB"/>
        </w:rPr>
        <w:t>tell you</w:t>
      </w:r>
      <w:r w:rsidR="009A6A8C" w:rsidRPr="009A6A8C">
        <w:t xml:space="preserve"> what further information is required for payments to be released</w:t>
      </w:r>
      <w:r w:rsidR="009A6A8C" w:rsidRPr="009A6A8C">
        <w:rPr>
          <w:lang w:val="en-GB"/>
        </w:rPr>
        <w:t xml:space="preserve">. </w:t>
      </w:r>
      <w:r>
        <w:rPr>
          <w:lang w:val="en-GB"/>
        </w:rPr>
        <w:t xml:space="preserve"> </w:t>
      </w:r>
    </w:p>
    <w:p w14:paraId="551F6A43" w14:textId="32E77ABB" w:rsidR="00365046" w:rsidRDefault="009A6A8C" w:rsidP="009A6A8C">
      <w:r w:rsidRPr="009A6A8C">
        <w:t xml:space="preserve">Where payments </w:t>
      </w:r>
      <w:r w:rsidR="00365046">
        <w:t>have been</w:t>
      </w:r>
      <w:r w:rsidR="00561BB8">
        <w:t xml:space="preserve"> $0 or</w:t>
      </w:r>
      <w:r w:rsidRPr="009A6A8C">
        <w:t xml:space="preserve"> withheld for </w:t>
      </w:r>
      <w:r w:rsidR="00365046">
        <w:t>3</w:t>
      </w:r>
      <w:r w:rsidRPr="009A6A8C">
        <w:t xml:space="preserve"> consecutive payment quarters, the practice</w:t>
      </w:r>
      <w:r w:rsidRPr="009A6A8C">
        <w:rPr>
          <w:lang w:val="en-GB"/>
        </w:rPr>
        <w:t>’</w:t>
      </w:r>
      <w:r w:rsidRPr="009A6A8C">
        <w:t xml:space="preserve">s incentive payments will cease and the practice will be withdrawn from the PNIP. </w:t>
      </w:r>
    </w:p>
    <w:p w14:paraId="40E5B258" w14:textId="313C697A" w:rsidR="009A6A8C" w:rsidRDefault="009A6A8C" w:rsidP="009A6A8C">
      <w:r w:rsidRPr="009A6A8C">
        <w:t>Practices must apply to re-join the PNIP and be fully accredited, at the time of applying, to be eligible to participate. Any previous payments are forfeited.</w:t>
      </w:r>
    </w:p>
    <w:p w14:paraId="763D61AA" w14:textId="05BD2C38" w:rsidR="005339C9" w:rsidRDefault="005339C9" w:rsidP="005339C9">
      <w:r w:rsidRPr="009A6A8C">
        <w:rPr>
          <w:lang w:val="en-GB"/>
        </w:rPr>
        <w:t>I</w:t>
      </w:r>
      <w:r w:rsidRPr="009A6A8C">
        <w:t>f a practice re-applies for the PNIP, payments will recommence from the</w:t>
      </w:r>
      <w:r w:rsidR="00561BB8">
        <w:t xml:space="preserve"> payment quarter following the</w:t>
      </w:r>
      <w:r w:rsidRPr="009A6A8C">
        <w:t xml:space="preserve"> date</w:t>
      </w:r>
      <w:r w:rsidR="00561BB8">
        <w:t xml:space="preserve"> the practice has met all eligibility requirements and is approved to participate in the PNIP.</w:t>
      </w:r>
      <w:r w:rsidRPr="009A6A8C">
        <w:t xml:space="preserve"> </w:t>
      </w:r>
    </w:p>
    <w:p w14:paraId="5F298CE5" w14:textId="77777777" w:rsidR="009A6A8C" w:rsidRPr="009A6A8C" w:rsidRDefault="009A6A8C" w:rsidP="0036652A">
      <w:pPr>
        <w:pStyle w:val="Heading3"/>
      </w:pPr>
      <w:bookmarkStart w:id="41" w:name="_Toc437932770"/>
      <w:bookmarkStart w:id="42" w:name="_Toc454456864"/>
      <w:bookmarkStart w:id="43" w:name="_Toc490491625"/>
      <w:r w:rsidRPr="009A6A8C">
        <w:t>Recovery of payments</w:t>
      </w:r>
      <w:bookmarkEnd w:id="41"/>
      <w:bookmarkEnd w:id="42"/>
      <w:bookmarkEnd w:id="43"/>
    </w:p>
    <w:p w14:paraId="580F1378" w14:textId="5BCFB233" w:rsidR="009A6A8C" w:rsidRPr="009A6A8C" w:rsidRDefault="009A6A8C" w:rsidP="009A6A8C">
      <w:pPr>
        <w:rPr>
          <w:lang w:val="en-GB"/>
        </w:rPr>
      </w:pPr>
      <w:r w:rsidRPr="009A6A8C">
        <w:rPr>
          <w:lang w:val="en-GB"/>
        </w:rPr>
        <w:t xml:space="preserve">If PNIP payments have been made as a result of an administrative error or inappropriate claiming, </w:t>
      </w:r>
      <w:r w:rsidR="005339C9">
        <w:rPr>
          <w:lang w:val="en-GB"/>
        </w:rPr>
        <w:t>we</w:t>
      </w:r>
      <w:r w:rsidRPr="009A6A8C">
        <w:rPr>
          <w:lang w:val="en-GB"/>
        </w:rPr>
        <w:t xml:space="preserve"> and/or</w:t>
      </w:r>
      <w:r w:rsidR="00EE2030">
        <w:rPr>
          <w:lang w:val="en-GB"/>
        </w:rPr>
        <w:t xml:space="preserve"> the Department of</w:t>
      </w:r>
      <w:r w:rsidRPr="009A6A8C">
        <w:rPr>
          <w:lang w:val="en-GB"/>
        </w:rPr>
        <w:t xml:space="preserve"> Health may seek to recover these payments.</w:t>
      </w:r>
    </w:p>
    <w:p w14:paraId="7A72A400" w14:textId="77777777" w:rsidR="009A6A8C" w:rsidRPr="009A6A8C" w:rsidRDefault="009A6A8C" w:rsidP="009A6A8C">
      <w:r w:rsidRPr="009A6A8C">
        <w:t>Practices will receive a payment advice outlining the practice and payment details following each payment. Practices should check that their PNIP payment advice is correct.</w:t>
      </w:r>
    </w:p>
    <w:p w14:paraId="13E94D17" w14:textId="77777777" w:rsidR="009370FB" w:rsidRDefault="009A6A8C" w:rsidP="009A6A8C">
      <w:pPr>
        <w:rPr>
          <w:lang w:val="en-GB"/>
        </w:rPr>
      </w:pPr>
      <w:r w:rsidRPr="009A6A8C">
        <w:rPr>
          <w:lang w:val="en-GB"/>
        </w:rPr>
        <w:t xml:space="preserve">Practices </w:t>
      </w:r>
      <w:r w:rsidR="009370FB" w:rsidRPr="009A6A8C">
        <w:rPr>
          <w:lang w:val="en-GB"/>
        </w:rPr>
        <w:t xml:space="preserve">may have to pay back any payments received incorrectly </w:t>
      </w:r>
      <w:r w:rsidR="009370FB">
        <w:rPr>
          <w:lang w:val="en-GB"/>
        </w:rPr>
        <w:t>if they:</w:t>
      </w:r>
    </w:p>
    <w:p w14:paraId="7C8A8474" w14:textId="77777777" w:rsidR="009370FB" w:rsidRDefault="009A6A8C" w:rsidP="009370FB">
      <w:pPr>
        <w:pStyle w:val="PNIPbullets"/>
        <w:rPr>
          <w:lang w:val="en-GB"/>
        </w:rPr>
      </w:pPr>
      <w:r w:rsidRPr="009A6A8C">
        <w:rPr>
          <w:lang w:val="en-GB"/>
        </w:rPr>
        <w:t>make false or misleading claims</w:t>
      </w:r>
      <w:r w:rsidR="009370FB">
        <w:rPr>
          <w:lang w:val="en-GB"/>
        </w:rPr>
        <w:t>,</w:t>
      </w:r>
      <w:r w:rsidRPr="009A6A8C">
        <w:rPr>
          <w:lang w:val="en-GB"/>
        </w:rPr>
        <w:t xml:space="preserve"> or </w:t>
      </w:r>
    </w:p>
    <w:p w14:paraId="01B8EBA3" w14:textId="01B6EAC5" w:rsidR="009A6A8C" w:rsidRDefault="009A6A8C" w:rsidP="009370FB">
      <w:pPr>
        <w:pStyle w:val="PNIPbullets"/>
        <w:rPr>
          <w:lang w:val="en-GB"/>
        </w:rPr>
      </w:pPr>
      <w:r w:rsidRPr="009A6A8C">
        <w:rPr>
          <w:lang w:val="en-GB"/>
        </w:rPr>
        <w:t xml:space="preserve">fail to notify </w:t>
      </w:r>
      <w:r w:rsidR="005339C9">
        <w:rPr>
          <w:lang w:val="en-GB"/>
        </w:rPr>
        <w:t>us</w:t>
      </w:r>
      <w:r w:rsidRPr="009A6A8C">
        <w:rPr>
          <w:lang w:val="en-GB"/>
        </w:rPr>
        <w:t xml:space="preserve"> of any changes which affect their eligibility to receive PNIP payments</w:t>
      </w:r>
    </w:p>
    <w:p w14:paraId="176A8B7B" w14:textId="1F7AB3B0" w:rsidR="006147B0" w:rsidRDefault="006147B0">
      <w:pPr>
        <w:spacing w:before="0" w:after="160" w:line="259" w:lineRule="auto"/>
        <w:ind w:left="0" w:right="0" w:firstLine="0"/>
        <w:rPr>
          <w:lang w:val="en-GB"/>
        </w:rPr>
      </w:pPr>
    </w:p>
    <w:p w14:paraId="183EBE7C" w14:textId="414C231B" w:rsidR="00B62FF8" w:rsidRDefault="0031648E" w:rsidP="004C32F0">
      <w:pPr>
        <w:pStyle w:val="Heading1"/>
        <w:ind w:left="0"/>
      </w:pPr>
      <w:bookmarkStart w:id="44" w:name="_Toc490491626"/>
      <w:r>
        <w:t>Managing</w:t>
      </w:r>
      <w:bookmarkEnd w:id="44"/>
    </w:p>
    <w:p w14:paraId="7BC5B818" w14:textId="5830CE84" w:rsidR="0031648E" w:rsidRDefault="006F7F3B" w:rsidP="003B7BF0">
      <w:pPr>
        <w:pStyle w:val="Heading2"/>
      </w:pPr>
      <w:bookmarkStart w:id="45" w:name="_Toc490491627"/>
      <w:r>
        <w:t>Your obligations</w:t>
      </w:r>
      <w:bookmarkEnd w:id="45"/>
    </w:p>
    <w:p w14:paraId="739895DD" w14:textId="471B690C" w:rsidR="000E3006" w:rsidRDefault="00967FD2" w:rsidP="00CF420C">
      <w:r>
        <w:t>Eligibility for payments under the P</w:t>
      </w:r>
      <w:r w:rsidR="00797A41">
        <w:t>ractice Nurse Incentive Program (P</w:t>
      </w:r>
      <w:r>
        <w:t>NIP</w:t>
      </w:r>
      <w:r w:rsidR="00797A41">
        <w:t>)</w:t>
      </w:r>
      <w:r>
        <w:t xml:space="preserve"> depends on practices meeting their obligations for the PNIP.</w:t>
      </w:r>
    </w:p>
    <w:p w14:paraId="68FDAA99" w14:textId="77777777" w:rsidR="00CF420C" w:rsidRPr="005273D7" w:rsidRDefault="00CF420C" w:rsidP="00CF420C">
      <w:r w:rsidRPr="005273D7">
        <w:t>The practice must:</w:t>
      </w:r>
    </w:p>
    <w:p w14:paraId="66868E84" w14:textId="400AAF82" w:rsidR="00CF420C" w:rsidRPr="006A4997" w:rsidRDefault="00CF420C" w:rsidP="00CF420C">
      <w:pPr>
        <w:pStyle w:val="PNIPbullets"/>
      </w:pPr>
      <w:r w:rsidRPr="006A4997">
        <w:t>be able to prove its claims for payment</w:t>
      </w:r>
    </w:p>
    <w:p w14:paraId="53163D1C" w14:textId="79FE2329" w:rsidR="00CF420C" w:rsidRPr="006A4997" w:rsidRDefault="00CF420C" w:rsidP="00CF420C">
      <w:pPr>
        <w:pStyle w:val="PNIPbullets"/>
      </w:pPr>
      <w:r w:rsidRPr="006A4997">
        <w:t xml:space="preserve">provide accurate information to </w:t>
      </w:r>
      <w:r w:rsidR="007E47BA" w:rsidRPr="006A4997">
        <w:t xml:space="preserve">the Department of </w:t>
      </w:r>
      <w:r w:rsidRPr="006A4997">
        <w:t xml:space="preserve">Health as part of </w:t>
      </w:r>
      <w:r w:rsidR="007E47BA" w:rsidRPr="006A4997">
        <w:t xml:space="preserve">their </w:t>
      </w:r>
      <w:r w:rsidRPr="006A4997">
        <w:t xml:space="preserve">audit program to </w:t>
      </w:r>
      <w:r w:rsidR="000F6A76" w:rsidRPr="006A4997">
        <w:t>demonstrate</w:t>
      </w:r>
      <w:r w:rsidRPr="006A4997">
        <w:t xml:space="preserve"> the practice meets the PNIP eligibility requirements - this may include timesheets as evidence of hours worked by eligible health professionals </w:t>
      </w:r>
    </w:p>
    <w:p w14:paraId="17334F3D" w14:textId="04B90DD5" w:rsidR="00CF420C" w:rsidRPr="006A4997" w:rsidRDefault="00CF420C" w:rsidP="00CF420C">
      <w:pPr>
        <w:pStyle w:val="PNIPbullets"/>
      </w:pPr>
      <w:r w:rsidRPr="006A4997">
        <w:t>remain eligible for P</w:t>
      </w:r>
      <w:r w:rsidR="00797A41" w:rsidRPr="006A4997">
        <w:t>ractice Incentives Program (P</w:t>
      </w:r>
      <w:r w:rsidRPr="006A4997">
        <w:t>IP</w:t>
      </w:r>
      <w:r w:rsidR="00797A41" w:rsidRPr="006A4997">
        <w:t>)</w:t>
      </w:r>
      <w:r w:rsidRPr="006A4997">
        <w:t xml:space="preserve"> as a PIP consenting practice to receive the PNIP payments</w:t>
      </w:r>
    </w:p>
    <w:p w14:paraId="26739880" w14:textId="57CB9D82" w:rsidR="00CF420C" w:rsidRPr="006A4997" w:rsidRDefault="00CF420C" w:rsidP="00CF420C">
      <w:pPr>
        <w:pStyle w:val="PNIPbullets"/>
      </w:pPr>
      <w:r w:rsidRPr="006A4997">
        <w:t>maintain a copy of all documentation relating to the PNIP requirements for a minimum of 6</w:t>
      </w:r>
      <w:r w:rsidR="00E72E45" w:rsidRPr="006A4997">
        <w:t> </w:t>
      </w:r>
      <w:r w:rsidRPr="006A4997">
        <w:t>years</w:t>
      </w:r>
    </w:p>
    <w:p w14:paraId="3BAE28F6" w14:textId="2597C505" w:rsidR="00CF420C" w:rsidRPr="006A4997" w:rsidRDefault="00CF420C" w:rsidP="00CF420C">
      <w:pPr>
        <w:pStyle w:val="PNIPbullets"/>
      </w:pPr>
      <w:r w:rsidRPr="006A4997">
        <w:t>confirm all details in the quarterly confirmation statements (QCS) are correct, and</w:t>
      </w:r>
    </w:p>
    <w:p w14:paraId="7FF5293C" w14:textId="08E1510C" w:rsidR="00226AF7" w:rsidRPr="006A4997" w:rsidRDefault="00226AF7" w:rsidP="00226AF7">
      <w:pPr>
        <w:pStyle w:val="PNIPbullets"/>
      </w:pPr>
      <w:r w:rsidRPr="006A4997">
        <w:t>tell us about changes to practice arrangements within 7 days or at least 7 days before the relevant point-in-time period, whichever date is first</w:t>
      </w:r>
    </w:p>
    <w:p w14:paraId="744CFE6F" w14:textId="5A202D36" w:rsidR="00967FD2" w:rsidRPr="00967FD2" w:rsidRDefault="00CF420C" w:rsidP="00BE3886">
      <w:r>
        <w:t>C</w:t>
      </w:r>
      <w:r w:rsidR="00967FD2" w:rsidRPr="00967FD2">
        <w:t xml:space="preserve">hanges </w:t>
      </w:r>
      <w:r>
        <w:t xml:space="preserve">to practice arrangements </w:t>
      </w:r>
      <w:r w:rsidR="00967FD2" w:rsidRPr="00967FD2">
        <w:t>could include:</w:t>
      </w:r>
    </w:p>
    <w:p w14:paraId="48C9EA1A" w14:textId="77777777" w:rsidR="00967FD2" w:rsidRPr="00967FD2" w:rsidRDefault="00967FD2" w:rsidP="00BE3886">
      <w:pPr>
        <w:pStyle w:val="PNIPbullets"/>
      </w:pPr>
      <w:r w:rsidRPr="00967FD2">
        <w:t>practitioners leaving or joining the practice</w:t>
      </w:r>
    </w:p>
    <w:p w14:paraId="0526B201" w14:textId="77777777" w:rsidR="00967FD2" w:rsidRPr="00967FD2" w:rsidRDefault="00967FD2" w:rsidP="00BE3886">
      <w:pPr>
        <w:pStyle w:val="PNIPbullets"/>
      </w:pPr>
      <w:r w:rsidRPr="00967FD2">
        <w:t>changes to the authorised contact person/s for the practice</w:t>
      </w:r>
    </w:p>
    <w:p w14:paraId="38877993" w14:textId="19056FB3" w:rsidR="00967FD2" w:rsidRPr="00967FD2" w:rsidRDefault="00967FD2" w:rsidP="00BE3886">
      <w:pPr>
        <w:pStyle w:val="PNIPbullets"/>
      </w:pPr>
      <w:r w:rsidRPr="00967FD2">
        <w:t xml:space="preserve">changes to the practice’s bank account </w:t>
      </w:r>
    </w:p>
    <w:p w14:paraId="514B20A9" w14:textId="7E814B0C" w:rsidR="00967FD2" w:rsidRPr="00967FD2" w:rsidRDefault="00967FD2" w:rsidP="00BE3886">
      <w:pPr>
        <w:pStyle w:val="PNIPbullets"/>
      </w:pPr>
      <w:r w:rsidRPr="00967FD2">
        <w:t xml:space="preserve">changes in </w:t>
      </w:r>
      <w:r w:rsidR="000F6A76">
        <w:t xml:space="preserve">accrediting body or </w:t>
      </w:r>
      <w:r w:rsidRPr="00967FD2">
        <w:t>accreditation status</w:t>
      </w:r>
      <w:r w:rsidR="00F632C1">
        <w:t xml:space="preserve">, </w:t>
      </w:r>
      <w:r w:rsidRPr="00967FD2">
        <w:t>such as the practice becoming fully accredited or the accreditation lapsing</w:t>
      </w:r>
      <w:r w:rsidR="004B5003" w:rsidRPr="00967FD2">
        <w:t>,</w:t>
      </w:r>
    </w:p>
    <w:p w14:paraId="4A30DB05" w14:textId="639241AE" w:rsidR="00967FD2" w:rsidRPr="00967FD2" w:rsidRDefault="00967FD2" w:rsidP="00BE3886">
      <w:pPr>
        <w:pStyle w:val="PNIPbullets"/>
      </w:pPr>
      <w:r w:rsidRPr="00967FD2">
        <w:t xml:space="preserve">changes to the practice location, ownership or </w:t>
      </w:r>
      <w:r w:rsidR="00F632C1">
        <w:t>amalgamations</w:t>
      </w:r>
    </w:p>
    <w:p w14:paraId="4F4F30AC" w14:textId="7CEE9549" w:rsidR="00967FD2" w:rsidRDefault="00967FD2" w:rsidP="00BE3886">
      <w:pPr>
        <w:pStyle w:val="PNIPbullets"/>
      </w:pPr>
      <w:r w:rsidRPr="00967FD2">
        <w:t>lapses in the practice’s public liability insurance or an individual practitioner’s professional indemnity cover</w:t>
      </w:r>
    </w:p>
    <w:p w14:paraId="5C5EA592" w14:textId="212E53EA" w:rsidR="004B5003" w:rsidRPr="00967FD2" w:rsidRDefault="004B5003" w:rsidP="00BE3886">
      <w:pPr>
        <w:pStyle w:val="PNIPbullets"/>
      </w:pPr>
      <w:r>
        <w:t xml:space="preserve">changes in hours worked (e.g. practice no longer employs or otherwise retains a registered nurse, enrolled nurse, allied health professional, Aboriginal and Torres Strait Islander </w:t>
      </w:r>
      <w:r w:rsidR="00683023">
        <w:t>H</w:t>
      </w:r>
      <w:r>
        <w:t xml:space="preserve">ealth </w:t>
      </w:r>
      <w:r w:rsidR="00683023">
        <w:t>W</w:t>
      </w:r>
      <w:r>
        <w:t>ork</w:t>
      </w:r>
      <w:r w:rsidR="00683023">
        <w:t>er</w:t>
      </w:r>
      <w:r>
        <w:t xml:space="preserve"> or Aboriginal and Torres Strait Islander </w:t>
      </w:r>
      <w:r w:rsidR="00683023">
        <w:t>H</w:t>
      </w:r>
      <w:r>
        <w:t xml:space="preserve">ealth </w:t>
      </w:r>
      <w:r w:rsidR="00683023">
        <w:t>P</w:t>
      </w:r>
      <w:r>
        <w:t>rofessional</w:t>
      </w:r>
      <w:r w:rsidR="00B958FA">
        <w:t>)</w:t>
      </w:r>
    </w:p>
    <w:p w14:paraId="40C5C315" w14:textId="66FF95AE" w:rsidR="00967FD2" w:rsidRDefault="00967FD2" w:rsidP="00BE3886">
      <w:pPr>
        <w:pStyle w:val="PNIPbullets"/>
      </w:pPr>
      <w:r w:rsidRPr="00967FD2">
        <w:t xml:space="preserve">changes in provider </w:t>
      </w:r>
      <w:r w:rsidR="00F632C1">
        <w:t>details</w:t>
      </w:r>
      <w:r w:rsidR="004B5003">
        <w:t>, and</w:t>
      </w:r>
    </w:p>
    <w:p w14:paraId="53154EEE" w14:textId="25463DA3" w:rsidR="004B5003" w:rsidRPr="00967FD2" w:rsidRDefault="004B5003" w:rsidP="00BE3886">
      <w:pPr>
        <w:pStyle w:val="PNIPbullets"/>
      </w:pPr>
      <w:r>
        <w:t xml:space="preserve">any other additional information that may affect program eligibility </w:t>
      </w:r>
    </w:p>
    <w:p w14:paraId="7DD9CC93" w14:textId="0D7C2E98" w:rsidR="00967FD2" w:rsidRPr="00967FD2" w:rsidRDefault="00967FD2" w:rsidP="00BE3886">
      <w:r w:rsidRPr="00967FD2">
        <w:t>You can tell us of any changes to</w:t>
      </w:r>
      <w:r w:rsidR="00D20E4D">
        <w:t xml:space="preserve"> </w:t>
      </w:r>
      <w:r w:rsidRPr="00967FD2">
        <w:t>practice arrangements:</w:t>
      </w:r>
    </w:p>
    <w:p w14:paraId="278A1C57" w14:textId="69A737B5" w:rsidR="00967FD2" w:rsidRPr="00967FD2" w:rsidRDefault="00967FD2" w:rsidP="00BE3886">
      <w:pPr>
        <w:pStyle w:val="PNIPbullets"/>
      </w:pPr>
      <w:r w:rsidRPr="00967FD2">
        <w:t xml:space="preserve">online via </w:t>
      </w:r>
      <w:hyperlink r:id="rId11" w:history="1">
        <w:r w:rsidRPr="00967FD2">
          <w:rPr>
            <w:rStyle w:val="Hyperlink"/>
          </w:rPr>
          <w:t>Health Professional Online Services (HPOS)</w:t>
        </w:r>
      </w:hyperlink>
      <w:r w:rsidRPr="00967FD2">
        <w:t xml:space="preserve"> </w:t>
      </w:r>
      <w:r w:rsidR="00F15D28">
        <w:t>–</w:t>
      </w:r>
      <w:r w:rsidRPr="00967FD2">
        <w:t xml:space="preserve"> changes via HPOS are immediate and can be made up to, and on, the relevant point-in-time date</w:t>
      </w:r>
    </w:p>
    <w:p w14:paraId="786DEFAC" w14:textId="4E7BA1E1" w:rsidR="00967FD2" w:rsidRPr="00967FD2" w:rsidRDefault="00967FD2" w:rsidP="00BE3886">
      <w:pPr>
        <w:pStyle w:val="PNIPbullets"/>
      </w:pPr>
      <w:r w:rsidRPr="00967FD2">
        <w:t xml:space="preserve">by completing the </w:t>
      </w:r>
      <w:hyperlink r:id="rId12" w:history="1">
        <w:r w:rsidRPr="00967FD2">
          <w:rPr>
            <w:rStyle w:val="Hyperlink"/>
            <w:i/>
          </w:rPr>
          <w:t>P</w:t>
        </w:r>
        <w:r w:rsidR="004B5003">
          <w:rPr>
            <w:rStyle w:val="Hyperlink"/>
            <w:i/>
          </w:rPr>
          <w:t xml:space="preserve">ractice Incentives </w:t>
        </w:r>
        <w:r w:rsidRPr="00967FD2">
          <w:rPr>
            <w:rStyle w:val="Hyperlink"/>
            <w:i/>
          </w:rPr>
          <w:t>Change of practice details</w:t>
        </w:r>
        <w:r w:rsidRPr="00967FD2">
          <w:rPr>
            <w:rStyle w:val="Hyperlink"/>
          </w:rPr>
          <w:t xml:space="preserve"> </w:t>
        </w:r>
        <w:r w:rsidRPr="00967FD2">
          <w:rPr>
            <w:rStyle w:val="Hyperlink"/>
            <w:i/>
          </w:rPr>
          <w:t>form</w:t>
        </w:r>
        <w:r w:rsidRPr="00967FD2">
          <w:rPr>
            <w:rStyle w:val="Hyperlink"/>
          </w:rPr>
          <w:t xml:space="preserve"> (IP005)</w:t>
        </w:r>
      </w:hyperlink>
      <w:r w:rsidRPr="00967FD2">
        <w:t xml:space="preserve"> </w:t>
      </w:r>
      <w:r w:rsidR="00315C52">
        <w:t xml:space="preserve">or the </w:t>
      </w:r>
      <w:r w:rsidR="00315C52" w:rsidRPr="00D00456">
        <w:rPr>
          <w:i/>
        </w:rPr>
        <w:t xml:space="preserve">Practice Incentives Individual general practitioner or nurse practitioner details form </w:t>
      </w:r>
      <w:r w:rsidR="00315C52">
        <w:t xml:space="preserve">(IP003) for each new GP or Nurse practitioner that joins the practice </w:t>
      </w:r>
      <w:r w:rsidRPr="00967FD2">
        <w:t xml:space="preserve">and sending it to us by </w:t>
      </w:r>
      <w:r w:rsidRPr="00967FD2">
        <w:rPr>
          <w:u w:val="single"/>
        </w:rPr>
        <w:t xml:space="preserve">fax </w:t>
      </w:r>
      <w:r w:rsidRPr="00967FD2">
        <w:t>at least 7 days before the relevant point-in-time date, or</w:t>
      </w:r>
    </w:p>
    <w:p w14:paraId="00BAE5B7" w14:textId="3BF7A293" w:rsidR="00EE6DA9" w:rsidRPr="00EB5FA2" w:rsidRDefault="00967FD2" w:rsidP="00BE3886">
      <w:pPr>
        <w:pStyle w:val="PNIPbullets"/>
        <w:rPr>
          <w:lang w:val="en-US"/>
        </w:rPr>
      </w:pPr>
      <w:r w:rsidRPr="00967FD2">
        <w:t>by advising us in writing, no later than 7 days before t</w:t>
      </w:r>
      <w:r w:rsidR="00EE6DA9">
        <w:t xml:space="preserve">he relevant point-in-time date </w:t>
      </w:r>
    </w:p>
    <w:p w14:paraId="30D8B028" w14:textId="62358AA1" w:rsidR="00967FD2" w:rsidRDefault="00EE6DA9" w:rsidP="00EB5FA2">
      <w:r>
        <w:t>T</w:t>
      </w:r>
      <w:r w:rsidR="00967FD2" w:rsidRPr="00967FD2">
        <w:t>he point-in time date is the last day of the month before the next quarterly payment</w:t>
      </w:r>
      <w:r>
        <w:t>.</w:t>
      </w:r>
    </w:p>
    <w:p w14:paraId="6F829BD7" w14:textId="5DBFB59C" w:rsidR="00AE42B4" w:rsidRPr="00AE42B4" w:rsidRDefault="00AE42B4" w:rsidP="003B7BF0">
      <w:pPr>
        <w:pStyle w:val="Heading2"/>
      </w:pPr>
      <w:bookmarkStart w:id="46" w:name="_Toc437932782"/>
      <w:bookmarkStart w:id="47" w:name="_Toc454456867"/>
      <w:bookmarkStart w:id="48" w:name="_Toc490491628"/>
      <w:r>
        <w:t>Withdrawing</w:t>
      </w:r>
      <w:r w:rsidRPr="00AE42B4">
        <w:t xml:space="preserve"> from the program</w:t>
      </w:r>
      <w:bookmarkEnd w:id="46"/>
      <w:bookmarkEnd w:id="47"/>
      <w:bookmarkEnd w:id="48"/>
      <w:r w:rsidRPr="00AE42B4">
        <w:t xml:space="preserve"> </w:t>
      </w:r>
    </w:p>
    <w:p w14:paraId="4BEB403F" w14:textId="7229013A" w:rsidR="00AE42B4" w:rsidRPr="00AE42B4" w:rsidRDefault="00AE42B4" w:rsidP="002A0116">
      <w:pPr>
        <w:rPr>
          <w:lang w:val="en-US"/>
        </w:rPr>
      </w:pPr>
      <w:r w:rsidRPr="00AE42B4">
        <w:rPr>
          <w:lang w:val="en-US"/>
        </w:rPr>
        <w:t xml:space="preserve">A practice may withdraw participation in the </w:t>
      </w:r>
      <w:r w:rsidR="008F6E73">
        <w:rPr>
          <w:lang w:val="en-US"/>
        </w:rPr>
        <w:t>P</w:t>
      </w:r>
      <w:r w:rsidR="00797A41">
        <w:rPr>
          <w:lang w:val="en-US"/>
        </w:rPr>
        <w:t>ractice Nurse Incentive Program (P</w:t>
      </w:r>
      <w:r w:rsidR="008F6E73">
        <w:rPr>
          <w:lang w:val="en-US"/>
        </w:rPr>
        <w:t>NIP</w:t>
      </w:r>
      <w:r w:rsidR="00797A41">
        <w:rPr>
          <w:lang w:val="en-US"/>
        </w:rPr>
        <w:t>)</w:t>
      </w:r>
      <w:r w:rsidRPr="00AE42B4">
        <w:rPr>
          <w:lang w:val="en-US"/>
        </w:rPr>
        <w:t xml:space="preserve"> at any time</w:t>
      </w:r>
      <w:r>
        <w:rPr>
          <w:lang w:val="en-US"/>
        </w:rPr>
        <w:t xml:space="preserve"> </w:t>
      </w:r>
      <w:r w:rsidR="00F15D28">
        <w:rPr>
          <w:lang w:val="en-US"/>
        </w:rPr>
        <w:t>–</w:t>
      </w:r>
      <w:r>
        <w:rPr>
          <w:lang w:val="en-US"/>
        </w:rPr>
        <w:t xml:space="preserve"> </w:t>
      </w:r>
      <w:r w:rsidRPr="00AE42B4">
        <w:rPr>
          <w:lang w:val="en-US"/>
        </w:rPr>
        <w:t>online through H</w:t>
      </w:r>
      <w:r w:rsidR="00797A41">
        <w:rPr>
          <w:lang w:val="en-US"/>
        </w:rPr>
        <w:t xml:space="preserve">ealth Professional Online Services </w:t>
      </w:r>
      <w:r w:rsidRPr="00AE42B4">
        <w:rPr>
          <w:lang w:val="en-US"/>
        </w:rPr>
        <w:t xml:space="preserve">or by </w:t>
      </w:r>
      <w:hyperlink r:id="rId13" w:history="1">
        <w:r w:rsidRPr="00AE42B4">
          <w:rPr>
            <w:rStyle w:val="Hyperlink"/>
            <w:lang w:val="en-US"/>
          </w:rPr>
          <w:t>sending us</w:t>
        </w:r>
      </w:hyperlink>
      <w:r>
        <w:rPr>
          <w:lang w:val="en-US"/>
        </w:rPr>
        <w:t xml:space="preserve"> </w:t>
      </w:r>
      <w:r w:rsidRPr="00AE42B4">
        <w:rPr>
          <w:lang w:val="en-US"/>
        </w:rPr>
        <w:t xml:space="preserve">the </w:t>
      </w:r>
      <w:hyperlink r:id="rId14" w:history="1">
        <w:r w:rsidRPr="00AE42B4">
          <w:rPr>
            <w:rStyle w:val="Hyperlink"/>
            <w:lang w:val="en-US"/>
          </w:rPr>
          <w:t>form</w:t>
        </w:r>
      </w:hyperlink>
      <w:r>
        <w:rPr>
          <w:lang w:val="en-US"/>
        </w:rPr>
        <w:t>.</w:t>
      </w:r>
      <w:r w:rsidRPr="00AE42B4">
        <w:rPr>
          <w:lang w:val="en-US"/>
        </w:rPr>
        <w:t xml:space="preserve"> </w:t>
      </w:r>
      <w:r>
        <w:rPr>
          <w:lang w:val="en-US"/>
        </w:rPr>
        <w:t xml:space="preserve"> </w:t>
      </w:r>
    </w:p>
    <w:p w14:paraId="2E216E92" w14:textId="77777777" w:rsidR="002A0116" w:rsidRDefault="00AE42B4" w:rsidP="002A0116">
      <w:r w:rsidRPr="00AE42B4">
        <w:t>Practices that withdraw or are withdrawn from the PNIP</w:t>
      </w:r>
      <w:r w:rsidRPr="00AE42B4">
        <w:rPr>
          <w:lang w:val="en-GB"/>
        </w:rPr>
        <w:t xml:space="preserve"> are not entitled to</w:t>
      </w:r>
      <w:r w:rsidRPr="00AE42B4">
        <w:t xml:space="preserve"> any withheld payments and need to reapply for the PNIP</w:t>
      </w:r>
      <w:r w:rsidR="002A0116">
        <w:t xml:space="preserve"> if they want to re-join the program</w:t>
      </w:r>
      <w:r w:rsidRPr="00AE42B4">
        <w:t xml:space="preserve">. </w:t>
      </w:r>
    </w:p>
    <w:p w14:paraId="35A1CA3C" w14:textId="74386104" w:rsidR="00AE42B4" w:rsidRDefault="00AE42B4" w:rsidP="002A0116">
      <w:r w:rsidRPr="00AE42B4">
        <w:t xml:space="preserve">These practices will be </w:t>
      </w:r>
      <w:r w:rsidRPr="00AE42B4">
        <w:rPr>
          <w:lang w:val="en-GB"/>
        </w:rPr>
        <w:t xml:space="preserve">assessed </w:t>
      </w:r>
      <w:r w:rsidRPr="00AE42B4">
        <w:t>as new applicant</w:t>
      </w:r>
      <w:r w:rsidR="002A0116">
        <w:t>s</w:t>
      </w:r>
      <w:r w:rsidRPr="00AE42B4">
        <w:rPr>
          <w:lang w:val="en-GB"/>
        </w:rPr>
        <w:t xml:space="preserve"> and</w:t>
      </w:r>
      <w:r w:rsidRPr="00AE42B4">
        <w:t xml:space="preserve"> will </w:t>
      </w:r>
      <w:r w:rsidRPr="00AE42B4">
        <w:rPr>
          <w:lang w:val="en-GB"/>
        </w:rPr>
        <w:t>need</w:t>
      </w:r>
      <w:r w:rsidRPr="00AE42B4">
        <w:t xml:space="preserve"> to be fully accredited to be eligible to participate.</w:t>
      </w:r>
    </w:p>
    <w:p w14:paraId="2C166472" w14:textId="44B68D06" w:rsidR="00D81D35" w:rsidRDefault="00D81D35" w:rsidP="003B7BF0">
      <w:pPr>
        <w:pStyle w:val="Heading2"/>
      </w:pPr>
      <w:bookmarkStart w:id="49" w:name="_Toc490491629"/>
      <w:r>
        <w:t>Privacy and consent</w:t>
      </w:r>
      <w:bookmarkEnd w:id="49"/>
    </w:p>
    <w:p w14:paraId="32B009B7" w14:textId="77777777" w:rsidR="00712A30" w:rsidRPr="00F53459" w:rsidRDefault="00712A30" w:rsidP="00F53459">
      <w:pPr>
        <w:rPr>
          <w:lang w:val="en-US"/>
        </w:rPr>
      </w:pPr>
      <w:bookmarkStart w:id="50" w:name="N10060"/>
      <w:bookmarkEnd w:id="50"/>
      <w:r w:rsidRPr="00F53459">
        <w:rPr>
          <w:lang w:val="en-US"/>
        </w:rPr>
        <w:t>Your personal information is protected by law, including the Privacy Act (1988).</w:t>
      </w:r>
    </w:p>
    <w:p w14:paraId="267179DD" w14:textId="184E5A7C" w:rsidR="00712A30" w:rsidRPr="00F53459" w:rsidRDefault="00712A30" w:rsidP="00F53459">
      <w:pPr>
        <w:rPr>
          <w:lang w:val="en-US"/>
        </w:rPr>
      </w:pPr>
      <w:r w:rsidRPr="00F53459">
        <w:rPr>
          <w:lang w:val="en-US"/>
        </w:rPr>
        <w:t xml:space="preserve">Personal information and other information about a practice that is participating in the Practice Nurse Incentive Program (PNIP) or is applying to participate in the PNIP is collected by </w:t>
      </w:r>
      <w:r w:rsidR="00912A3F" w:rsidRPr="00F53459">
        <w:rPr>
          <w:lang w:val="en-US"/>
        </w:rPr>
        <w:t>us</w:t>
      </w:r>
      <w:r w:rsidRPr="00F53459">
        <w:rPr>
          <w:lang w:val="en-US"/>
        </w:rPr>
        <w:t xml:space="preserve"> for the assessment and administration of the PNIP payments and services. This information will be disclosed to the Department of Health and the Department of Veterans’ Affairs (DVA) to enable those departments to administer aspects of PNIP, for statistical and research purposes, compliance activities, and to inform policy development.</w:t>
      </w:r>
    </w:p>
    <w:p w14:paraId="6A5CD897" w14:textId="77777777" w:rsidR="00712A30" w:rsidRPr="00F53459" w:rsidRDefault="00712A30" w:rsidP="00D00456">
      <w:pPr>
        <w:pStyle w:val="NormalWeb"/>
        <w:shd w:val="clear" w:color="auto" w:fill="FFFFFF"/>
        <w:spacing w:after="0" w:line="240" w:lineRule="auto"/>
        <w:ind w:left="720"/>
        <w:rPr>
          <w:color w:val="auto"/>
          <w:sz w:val="22"/>
          <w:szCs w:val="22"/>
        </w:rPr>
      </w:pPr>
    </w:p>
    <w:p w14:paraId="58E3729C" w14:textId="10F1F548" w:rsidR="00683023" w:rsidRDefault="00912A3F" w:rsidP="00D00456">
      <w:pPr>
        <w:pStyle w:val="NormalWeb"/>
        <w:shd w:val="clear" w:color="auto" w:fill="FFFFFF"/>
        <w:spacing w:after="0" w:line="240" w:lineRule="auto"/>
        <w:ind w:left="720"/>
        <w:rPr>
          <w:rFonts w:eastAsia="Times New Roman"/>
          <w:color w:val="333333"/>
          <w:sz w:val="22"/>
          <w:szCs w:val="22"/>
          <w:lang w:eastAsia="en-AU"/>
        </w:rPr>
      </w:pPr>
      <w:r w:rsidRPr="00F53459">
        <w:rPr>
          <w:rFonts w:eastAsia="Times New Roman"/>
          <w:color w:val="333333"/>
          <w:sz w:val="22"/>
          <w:szCs w:val="22"/>
          <w:lang w:eastAsia="en-AU"/>
        </w:rPr>
        <w:t>We</w:t>
      </w:r>
      <w:r w:rsidR="00712A30" w:rsidRPr="00F53459">
        <w:rPr>
          <w:rFonts w:eastAsia="Times New Roman"/>
          <w:color w:val="333333"/>
          <w:sz w:val="22"/>
          <w:szCs w:val="22"/>
          <w:lang w:eastAsia="en-AU"/>
        </w:rPr>
        <w:t xml:space="preserve"> may use or disclose your personal information for other purposes where required or authorised by law, or if you agree. </w:t>
      </w:r>
    </w:p>
    <w:p w14:paraId="1B002EA3" w14:textId="77777777" w:rsidR="00683023" w:rsidRDefault="00683023" w:rsidP="00D00456">
      <w:pPr>
        <w:pStyle w:val="NormalWeb"/>
        <w:shd w:val="clear" w:color="auto" w:fill="FFFFFF"/>
        <w:spacing w:after="0" w:line="240" w:lineRule="auto"/>
        <w:ind w:left="720"/>
        <w:rPr>
          <w:rFonts w:eastAsia="Times New Roman"/>
          <w:color w:val="333333"/>
          <w:sz w:val="22"/>
          <w:szCs w:val="22"/>
          <w:lang w:eastAsia="en-AU"/>
        </w:rPr>
      </w:pPr>
    </w:p>
    <w:p w14:paraId="06EE19BC" w14:textId="73070197" w:rsidR="00712A30" w:rsidRPr="00F53459" w:rsidRDefault="00912A3F" w:rsidP="00D00456">
      <w:pPr>
        <w:pStyle w:val="NormalWeb"/>
        <w:shd w:val="clear" w:color="auto" w:fill="FFFFFF"/>
        <w:spacing w:after="0" w:line="240" w:lineRule="auto"/>
        <w:ind w:left="720"/>
        <w:rPr>
          <w:rFonts w:eastAsia="Times New Roman"/>
          <w:color w:val="333333"/>
          <w:sz w:val="22"/>
          <w:szCs w:val="22"/>
          <w:lang w:eastAsia="en-AU"/>
        </w:rPr>
      </w:pPr>
      <w:r w:rsidRPr="00C142F0">
        <w:rPr>
          <w:rFonts w:eastAsia="Times New Roman"/>
          <w:color w:val="333333"/>
          <w:sz w:val="22"/>
          <w:szCs w:val="22"/>
          <w:lang w:eastAsia="en-AU"/>
        </w:rPr>
        <w:t xml:space="preserve">Read more about our </w:t>
      </w:r>
      <w:hyperlink r:id="rId15" w:history="1">
        <w:r w:rsidR="00EE7867" w:rsidRPr="00EE7867">
          <w:rPr>
            <w:rStyle w:val="Hyperlink"/>
            <w:rFonts w:eastAsia="Times New Roman"/>
            <w:sz w:val="22"/>
            <w:szCs w:val="22"/>
            <w:lang w:eastAsia="en-AU"/>
          </w:rPr>
          <w:t>privacy policy</w:t>
        </w:r>
      </w:hyperlink>
      <w:r w:rsidRPr="00C142F0">
        <w:rPr>
          <w:rFonts w:eastAsia="Times New Roman"/>
          <w:color w:val="333333"/>
          <w:sz w:val="22"/>
          <w:szCs w:val="22"/>
          <w:lang w:eastAsia="en-AU"/>
        </w:rPr>
        <w:t>, including how we manage</w:t>
      </w:r>
      <w:r w:rsidRPr="00F53459">
        <w:rPr>
          <w:rFonts w:eastAsia="Times New Roman"/>
          <w:color w:val="333333"/>
          <w:sz w:val="22"/>
          <w:szCs w:val="22"/>
          <w:lang w:eastAsia="en-AU"/>
        </w:rPr>
        <w:t xml:space="preserve"> your personal information</w:t>
      </w:r>
      <w:r w:rsidR="00EE7867">
        <w:rPr>
          <w:rFonts w:eastAsia="Times New Roman"/>
          <w:color w:val="333333"/>
          <w:sz w:val="22"/>
          <w:szCs w:val="22"/>
          <w:lang w:eastAsia="en-AU"/>
        </w:rPr>
        <w:t>.</w:t>
      </w:r>
      <w:r w:rsidRPr="00F53459">
        <w:rPr>
          <w:rFonts w:eastAsia="Times New Roman"/>
          <w:color w:val="333333"/>
          <w:sz w:val="22"/>
          <w:szCs w:val="22"/>
          <w:lang w:eastAsia="en-AU"/>
        </w:rPr>
        <w:t xml:space="preserve"> </w:t>
      </w:r>
    </w:p>
    <w:p w14:paraId="775E04F4" w14:textId="77777777" w:rsidR="00712A30" w:rsidRPr="00F53459" w:rsidRDefault="00712A30" w:rsidP="00712A30">
      <w:pPr>
        <w:rPr>
          <w:lang w:val="en-US"/>
        </w:rPr>
      </w:pPr>
      <w:r w:rsidRPr="00F53459">
        <w:rPr>
          <w:lang w:val="en-US"/>
        </w:rPr>
        <w:t>When a PIP practice provides consent for the PNIP, they are agreeing to the use of the following PIP information:</w:t>
      </w:r>
    </w:p>
    <w:p w14:paraId="6CF105AA" w14:textId="099510CD" w:rsidR="00712A30" w:rsidRPr="00F53459" w:rsidRDefault="00912A3F" w:rsidP="004A609F">
      <w:pPr>
        <w:pStyle w:val="ListParagraph"/>
        <w:numPr>
          <w:ilvl w:val="0"/>
          <w:numId w:val="15"/>
        </w:numPr>
        <w:rPr>
          <w:lang w:val="en-US"/>
        </w:rPr>
      </w:pPr>
      <w:r w:rsidRPr="00F53459">
        <w:rPr>
          <w:lang w:val="en-US"/>
        </w:rPr>
        <w:t>p</w:t>
      </w:r>
      <w:r w:rsidR="00712A30" w:rsidRPr="00F53459">
        <w:rPr>
          <w:lang w:val="en-US"/>
        </w:rPr>
        <w:t>ractice name and main address</w:t>
      </w:r>
    </w:p>
    <w:p w14:paraId="757342DD" w14:textId="6E95EC3D" w:rsidR="00712A30" w:rsidRPr="00F53459" w:rsidRDefault="00912A3F" w:rsidP="004A609F">
      <w:pPr>
        <w:pStyle w:val="ListParagraph"/>
        <w:numPr>
          <w:ilvl w:val="0"/>
          <w:numId w:val="15"/>
        </w:numPr>
        <w:rPr>
          <w:lang w:val="en-US"/>
        </w:rPr>
      </w:pPr>
      <w:r w:rsidRPr="00F53459">
        <w:rPr>
          <w:lang w:val="en-US"/>
        </w:rPr>
        <w:t>e</w:t>
      </w:r>
      <w:r w:rsidR="00712A30" w:rsidRPr="00F53459">
        <w:rPr>
          <w:lang w:val="en-US"/>
        </w:rPr>
        <w:t>ligibility details, such as accreditation, public liability insurance and indemnity insurance</w:t>
      </w:r>
    </w:p>
    <w:p w14:paraId="61D91F14" w14:textId="52CC1D65" w:rsidR="00712A30" w:rsidRPr="00F53459" w:rsidRDefault="00912A3F" w:rsidP="004A609F">
      <w:pPr>
        <w:pStyle w:val="ListParagraph"/>
        <w:numPr>
          <w:ilvl w:val="0"/>
          <w:numId w:val="15"/>
        </w:numPr>
        <w:rPr>
          <w:lang w:val="en-US"/>
        </w:rPr>
      </w:pPr>
      <w:r w:rsidRPr="00F53459">
        <w:rPr>
          <w:lang w:val="en-US"/>
        </w:rPr>
        <w:t>b</w:t>
      </w:r>
      <w:r w:rsidR="00712A30" w:rsidRPr="00F53459">
        <w:rPr>
          <w:lang w:val="en-US"/>
        </w:rPr>
        <w:t>ank account details</w:t>
      </w:r>
    </w:p>
    <w:p w14:paraId="618A39C6" w14:textId="70D5B5CB" w:rsidR="00712A30" w:rsidRPr="00F53459" w:rsidRDefault="00912A3F" w:rsidP="004A609F">
      <w:pPr>
        <w:pStyle w:val="ListParagraph"/>
        <w:numPr>
          <w:ilvl w:val="0"/>
          <w:numId w:val="15"/>
        </w:numPr>
        <w:rPr>
          <w:lang w:val="en-US"/>
        </w:rPr>
      </w:pPr>
      <w:r w:rsidRPr="00F53459">
        <w:rPr>
          <w:lang w:val="en-US"/>
        </w:rPr>
        <w:t>c</w:t>
      </w:r>
      <w:r w:rsidR="00712A30" w:rsidRPr="00F53459">
        <w:rPr>
          <w:lang w:val="en-US"/>
        </w:rPr>
        <w:t>ontact details</w:t>
      </w:r>
    </w:p>
    <w:p w14:paraId="0ED75645" w14:textId="53960B6C" w:rsidR="00712A30" w:rsidRPr="00F53459" w:rsidRDefault="00912A3F" w:rsidP="004A609F">
      <w:pPr>
        <w:pStyle w:val="ListParagraph"/>
        <w:numPr>
          <w:ilvl w:val="0"/>
          <w:numId w:val="15"/>
        </w:numPr>
        <w:rPr>
          <w:lang w:val="en-US"/>
        </w:rPr>
      </w:pPr>
      <w:r w:rsidRPr="00F53459">
        <w:rPr>
          <w:lang w:val="en-US"/>
        </w:rPr>
        <w:t>l</w:t>
      </w:r>
      <w:r w:rsidR="00712A30" w:rsidRPr="00F53459">
        <w:rPr>
          <w:lang w:val="en-US"/>
        </w:rPr>
        <w:t>ocation details</w:t>
      </w:r>
    </w:p>
    <w:p w14:paraId="761559C6" w14:textId="61805FD2" w:rsidR="00712A30" w:rsidRPr="00F53459" w:rsidRDefault="00912A3F" w:rsidP="004A609F">
      <w:pPr>
        <w:pStyle w:val="ListParagraph"/>
        <w:numPr>
          <w:ilvl w:val="0"/>
          <w:numId w:val="15"/>
        </w:numPr>
        <w:rPr>
          <w:lang w:val="en-US"/>
        </w:rPr>
      </w:pPr>
      <w:r w:rsidRPr="00F53459">
        <w:rPr>
          <w:lang w:val="en-US"/>
        </w:rPr>
        <w:t>o</w:t>
      </w:r>
      <w:r w:rsidR="00712A30" w:rsidRPr="00F53459">
        <w:rPr>
          <w:lang w:val="en-US"/>
        </w:rPr>
        <w:t>wnership details</w:t>
      </w:r>
    </w:p>
    <w:p w14:paraId="2C21F06D" w14:textId="14E8E4F1" w:rsidR="00712A30" w:rsidRPr="00F53459" w:rsidRDefault="00712A30" w:rsidP="004A609F">
      <w:pPr>
        <w:pStyle w:val="ListParagraph"/>
        <w:numPr>
          <w:ilvl w:val="0"/>
          <w:numId w:val="15"/>
        </w:numPr>
        <w:rPr>
          <w:lang w:val="en-US"/>
        </w:rPr>
      </w:pPr>
      <w:r w:rsidRPr="00F53459">
        <w:rPr>
          <w:lang w:val="en-US"/>
        </w:rPr>
        <w:t>GP details</w:t>
      </w:r>
    </w:p>
    <w:p w14:paraId="2D1143DD" w14:textId="32A587B7" w:rsidR="00712A30" w:rsidRPr="00F53459" w:rsidRDefault="00912A3F" w:rsidP="004A609F">
      <w:pPr>
        <w:pStyle w:val="ListParagraph"/>
        <w:numPr>
          <w:ilvl w:val="0"/>
          <w:numId w:val="15"/>
        </w:numPr>
        <w:rPr>
          <w:lang w:val="en-US"/>
        </w:rPr>
      </w:pPr>
      <w:r w:rsidRPr="00F53459">
        <w:rPr>
          <w:lang w:val="en-US"/>
        </w:rPr>
        <w:t>a</w:t>
      </w:r>
      <w:r w:rsidR="00712A30" w:rsidRPr="00F53459">
        <w:rPr>
          <w:lang w:val="en-US"/>
        </w:rPr>
        <w:t>ssociated documents and comments and issued letters</w:t>
      </w:r>
      <w:r w:rsidR="00F53459" w:rsidRPr="00F53459">
        <w:rPr>
          <w:lang w:val="en-US"/>
        </w:rPr>
        <w:t>, and</w:t>
      </w:r>
    </w:p>
    <w:p w14:paraId="0A654CF4" w14:textId="235C1880" w:rsidR="00712A30" w:rsidRPr="00F53459" w:rsidRDefault="00712A30" w:rsidP="004A609F">
      <w:pPr>
        <w:pStyle w:val="ListParagraph"/>
        <w:numPr>
          <w:ilvl w:val="0"/>
          <w:numId w:val="15"/>
        </w:numPr>
        <w:rPr>
          <w:rFonts w:ascii="Calibri Light" w:hAnsi="Calibri Light"/>
        </w:rPr>
      </w:pPr>
      <w:r w:rsidRPr="00F53459">
        <w:rPr>
          <w:lang w:val="en-US"/>
        </w:rPr>
        <w:t>Standard Whole of Patient Equivalent (SWPE)</w:t>
      </w:r>
      <w:r w:rsidR="00F53459" w:rsidRPr="00F53459">
        <w:rPr>
          <w:lang w:val="en-US"/>
        </w:rPr>
        <w:t xml:space="preserve">, </w:t>
      </w:r>
      <w:r w:rsidRPr="00F53459">
        <w:rPr>
          <w:lang w:val="en-US"/>
        </w:rPr>
        <w:t>for the PNIP calculations</w:t>
      </w:r>
    </w:p>
    <w:p w14:paraId="3BFABFE3" w14:textId="6ED4FBF5" w:rsidR="006F7F3B" w:rsidRPr="00703D74" w:rsidRDefault="002656D9" w:rsidP="003B7BF0">
      <w:pPr>
        <w:pStyle w:val="Heading2"/>
      </w:pPr>
      <w:bookmarkStart w:id="51" w:name="_Toc490491630"/>
      <w:r>
        <w:t>R</w:t>
      </w:r>
      <w:r w:rsidR="00FD23B4">
        <w:t>ights of review</w:t>
      </w:r>
      <w:bookmarkEnd w:id="51"/>
    </w:p>
    <w:p w14:paraId="58F93E9A" w14:textId="2D25EFC0" w:rsidR="00FD23B4" w:rsidRDefault="006F7F3B" w:rsidP="00BE3886">
      <w:pPr>
        <w:rPr>
          <w:lang w:val="en-US"/>
        </w:rPr>
      </w:pPr>
      <w:r w:rsidRPr="006F7F3B">
        <w:rPr>
          <w:lang w:val="en-US"/>
        </w:rPr>
        <w:t>The P</w:t>
      </w:r>
      <w:r w:rsidR="00797A41">
        <w:rPr>
          <w:lang w:val="en-US"/>
        </w:rPr>
        <w:t>ractice Nurse Incentive Program (P</w:t>
      </w:r>
      <w:r w:rsidRPr="006F7F3B">
        <w:rPr>
          <w:lang w:val="en-US"/>
        </w:rPr>
        <w:t>NIP</w:t>
      </w:r>
      <w:r w:rsidR="00797A41">
        <w:rPr>
          <w:lang w:val="en-US"/>
        </w:rPr>
        <w:t>)</w:t>
      </w:r>
      <w:r w:rsidRPr="006F7F3B">
        <w:rPr>
          <w:lang w:val="en-US"/>
        </w:rPr>
        <w:t xml:space="preserve"> has a review of decision</w:t>
      </w:r>
      <w:r w:rsidR="008F6E73">
        <w:rPr>
          <w:lang w:val="en-US"/>
        </w:rPr>
        <w:t xml:space="preserve"> (ROD)</w:t>
      </w:r>
      <w:r w:rsidRPr="006F7F3B">
        <w:rPr>
          <w:lang w:val="en-US"/>
        </w:rPr>
        <w:t xml:space="preserve"> process. </w:t>
      </w:r>
      <w:r w:rsidR="00FD23B4">
        <w:rPr>
          <w:lang w:val="en-US"/>
        </w:rPr>
        <w:t xml:space="preserve">This is separate from reviews relating to </w:t>
      </w:r>
      <w:r w:rsidR="002C7298">
        <w:rPr>
          <w:lang w:val="en-US"/>
        </w:rPr>
        <w:t xml:space="preserve">program </w:t>
      </w:r>
      <w:r w:rsidR="00FD23B4">
        <w:rPr>
          <w:lang w:val="en-US"/>
        </w:rPr>
        <w:t>audits.</w:t>
      </w:r>
    </w:p>
    <w:p w14:paraId="2C26A458" w14:textId="4461820A" w:rsidR="00122BB0" w:rsidRPr="00EB5FA2" w:rsidRDefault="00122BB0" w:rsidP="00122BB0">
      <w:r>
        <w:t>.</w:t>
      </w:r>
      <w:r w:rsidRPr="0000123B">
        <w:t xml:space="preserve">Decisions </w:t>
      </w:r>
      <w:r>
        <w:t xml:space="preserve">made </w:t>
      </w:r>
      <w:r w:rsidRPr="0000123B">
        <w:t xml:space="preserve">under the </w:t>
      </w:r>
      <w:r>
        <w:t>p</w:t>
      </w:r>
      <w:r w:rsidRPr="0000123B">
        <w:t xml:space="preserve">rogram </w:t>
      </w:r>
      <w:r>
        <w:t>are</w:t>
      </w:r>
      <w:r w:rsidRPr="0000123B">
        <w:t xml:space="preserve"> based </w:t>
      </w:r>
      <w:r>
        <w:t>on the published guidelines</w:t>
      </w:r>
      <w:r w:rsidRPr="0000123B">
        <w:t xml:space="preserve"> </w:t>
      </w:r>
      <w:r>
        <w:t xml:space="preserve">as </w:t>
      </w:r>
      <w:r w:rsidRPr="0000123B">
        <w:t>at the date of the event.</w:t>
      </w:r>
    </w:p>
    <w:p w14:paraId="0B20E6BA" w14:textId="4A75D6DB" w:rsidR="00925EDD" w:rsidRDefault="006F7F3B" w:rsidP="00122BB0">
      <w:pPr>
        <w:rPr>
          <w:lang w:val="en-US"/>
        </w:rPr>
      </w:pPr>
      <w:r w:rsidRPr="006F7F3B">
        <w:rPr>
          <w:lang w:val="en-US"/>
        </w:rPr>
        <w:t xml:space="preserve">To request a review of a decision, the </w:t>
      </w:r>
      <w:r w:rsidR="008F6E73">
        <w:rPr>
          <w:lang w:val="en-US"/>
        </w:rPr>
        <w:t>authorised</w:t>
      </w:r>
      <w:r w:rsidRPr="006F7F3B">
        <w:rPr>
          <w:lang w:val="en-US"/>
        </w:rPr>
        <w:t xml:space="preserve"> contact person or the owners of </w:t>
      </w:r>
      <w:r w:rsidR="00D20E4D">
        <w:rPr>
          <w:lang w:val="en-US"/>
        </w:rPr>
        <w:t>the</w:t>
      </w:r>
      <w:r w:rsidRPr="006F7F3B">
        <w:rPr>
          <w:lang w:val="en-US"/>
        </w:rPr>
        <w:t xml:space="preserve"> practice must write to </w:t>
      </w:r>
      <w:r w:rsidR="00967FD2">
        <w:rPr>
          <w:lang w:val="en-US"/>
        </w:rPr>
        <w:t>us</w:t>
      </w:r>
      <w:r w:rsidRPr="006F7F3B">
        <w:rPr>
          <w:lang w:val="en-US"/>
        </w:rPr>
        <w:t xml:space="preserve"> </w:t>
      </w:r>
      <w:r w:rsidR="00FD23B4">
        <w:rPr>
          <w:lang w:val="en-US"/>
        </w:rPr>
        <w:t xml:space="preserve">using the </w:t>
      </w:r>
      <w:hyperlink r:id="rId16" w:history="1">
        <w:r w:rsidR="00FD23B4" w:rsidRPr="00FD23B4">
          <w:rPr>
            <w:rStyle w:val="Hyperlink"/>
            <w:lang w:val="en-US"/>
          </w:rPr>
          <w:t xml:space="preserve">Practice Incentives </w:t>
        </w:r>
        <w:r w:rsidR="00925EDD">
          <w:rPr>
            <w:rStyle w:val="Hyperlink"/>
            <w:lang w:val="en-US"/>
          </w:rPr>
          <w:t>review of d</w:t>
        </w:r>
        <w:r w:rsidR="00FD23B4" w:rsidRPr="00FD23B4">
          <w:rPr>
            <w:rStyle w:val="Hyperlink"/>
            <w:lang w:val="en-US"/>
          </w:rPr>
          <w:t>ecision form (IP027)</w:t>
        </w:r>
      </w:hyperlink>
      <w:r w:rsidR="00925EDD">
        <w:rPr>
          <w:lang w:val="en-US"/>
        </w:rPr>
        <w:t>.</w:t>
      </w:r>
    </w:p>
    <w:p w14:paraId="1DA04102" w14:textId="6E42E0D0" w:rsidR="006F7F3B" w:rsidRDefault="00925EDD" w:rsidP="00BE3886">
      <w:pPr>
        <w:rPr>
          <w:lang w:val="en-US"/>
        </w:rPr>
      </w:pPr>
      <w:r>
        <w:rPr>
          <w:lang w:val="en-US"/>
        </w:rPr>
        <w:t xml:space="preserve">You must do this </w:t>
      </w:r>
      <w:r w:rsidR="006F7F3B" w:rsidRPr="006F7F3B">
        <w:rPr>
          <w:lang w:val="en-US"/>
        </w:rPr>
        <w:t xml:space="preserve">within 28 days of receiving the decision </w:t>
      </w:r>
      <w:r>
        <w:rPr>
          <w:lang w:val="en-US"/>
        </w:rPr>
        <w:t>you</w:t>
      </w:r>
      <w:r w:rsidR="006F7F3B" w:rsidRPr="006F7F3B">
        <w:rPr>
          <w:lang w:val="en-US"/>
        </w:rPr>
        <w:t xml:space="preserve"> want reviewed.</w:t>
      </w:r>
    </w:p>
    <w:p w14:paraId="4A2CAB39" w14:textId="7C34EAF2" w:rsidR="008F6E73" w:rsidRDefault="00557E75" w:rsidP="00E72E45">
      <w:pPr>
        <w:rPr>
          <w:lang w:val="en-US"/>
        </w:rPr>
      </w:pPr>
      <w:r>
        <w:rPr>
          <w:lang w:val="en-US"/>
        </w:rPr>
        <w:t>We</w:t>
      </w:r>
      <w:r w:rsidR="006F7F3B" w:rsidRPr="006F7F3B">
        <w:rPr>
          <w:lang w:val="en-US"/>
        </w:rPr>
        <w:t xml:space="preserve"> will review </w:t>
      </w:r>
      <w:r>
        <w:rPr>
          <w:lang w:val="en-US"/>
        </w:rPr>
        <w:t>our</w:t>
      </w:r>
      <w:r w:rsidR="006F7F3B" w:rsidRPr="006F7F3B">
        <w:rPr>
          <w:lang w:val="en-US"/>
        </w:rPr>
        <w:t xml:space="preserve"> decision </w:t>
      </w:r>
      <w:r w:rsidR="008F6E73">
        <w:rPr>
          <w:lang w:val="en-US"/>
        </w:rPr>
        <w:t>against</w:t>
      </w:r>
      <w:r w:rsidR="006F7F3B" w:rsidRPr="006F7F3B">
        <w:rPr>
          <w:lang w:val="en-US"/>
        </w:rPr>
        <w:t xml:space="preserve"> the PNIP eligibility criteria and/or payment formula and advise </w:t>
      </w:r>
      <w:r w:rsidR="00D20E4D">
        <w:rPr>
          <w:lang w:val="en-US"/>
        </w:rPr>
        <w:t xml:space="preserve">the </w:t>
      </w:r>
      <w:r w:rsidR="006F7F3B" w:rsidRPr="006F7F3B">
        <w:rPr>
          <w:lang w:val="en-US"/>
        </w:rPr>
        <w:t>practice in writing of the outcome.</w:t>
      </w:r>
    </w:p>
    <w:p w14:paraId="2E309F53" w14:textId="77777777" w:rsidR="00925EDD" w:rsidRPr="00925EDD" w:rsidRDefault="006F7F3B" w:rsidP="00925EDD">
      <w:pPr>
        <w:rPr>
          <w:lang w:val="en-GB"/>
        </w:rPr>
      </w:pPr>
      <w:r w:rsidRPr="006F7F3B">
        <w:rPr>
          <w:lang w:val="en-US"/>
        </w:rPr>
        <w:t xml:space="preserve">If </w:t>
      </w:r>
      <w:r w:rsidR="00925EDD">
        <w:rPr>
          <w:lang w:val="en-US"/>
        </w:rPr>
        <w:t>you aren’t</w:t>
      </w:r>
      <w:r w:rsidRPr="006F7F3B">
        <w:rPr>
          <w:lang w:val="en-US"/>
        </w:rPr>
        <w:t xml:space="preserve"> satisfied with the review decision, </w:t>
      </w:r>
      <w:r w:rsidR="00925EDD">
        <w:rPr>
          <w:lang w:val="en-US"/>
        </w:rPr>
        <w:t>you</w:t>
      </w:r>
      <w:r w:rsidRPr="006F7F3B">
        <w:rPr>
          <w:lang w:val="en-US"/>
        </w:rPr>
        <w:t xml:space="preserve"> can ask for the decision to be considered by a Formal Review Committee. </w:t>
      </w:r>
      <w:r w:rsidR="00925EDD" w:rsidRPr="00925EDD">
        <w:t xml:space="preserve">The Formal Review Committee is the last avenue of appeal and its decision is final. </w:t>
      </w:r>
    </w:p>
    <w:p w14:paraId="0B980F4B" w14:textId="15452817" w:rsidR="006F7F3B" w:rsidRDefault="009F48FC" w:rsidP="00B158A2">
      <w:pPr>
        <w:rPr>
          <w:lang w:val="en-US"/>
        </w:rPr>
      </w:pPr>
      <w:hyperlink r:id="rId17" w:history="1">
        <w:r w:rsidR="00B158A2" w:rsidRPr="00B158A2">
          <w:rPr>
            <w:rStyle w:val="Hyperlink"/>
            <w:lang w:val="en-US"/>
          </w:rPr>
          <w:t>Contact us</w:t>
        </w:r>
      </w:hyperlink>
      <w:r w:rsidR="00B158A2">
        <w:rPr>
          <w:lang w:val="en-US"/>
        </w:rPr>
        <w:t xml:space="preserve"> t</w:t>
      </w:r>
      <w:r w:rsidR="00557E75">
        <w:rPr>
          <w:lang w:val="en-US"/>
        </w:rPr>
        <w:t>o find out m</w:t>
      </w:r>
      <w:r w:rsidR="006F7F3B" w:rsidRPr="006F7F3B">
        <w:rPr>
          <w:lang w:val="en-US"/>
        </w:rPr>
        <w:t xml:space="preserve">ore </w:t>
      </w:r>
      <w:r w:rsidR="00925EDD">
        <w:rPr>
          <w:lang w:val="en-US"/>
        </w:rPr>
        <w:t>about</w:t>
      </w:r>
      <w:r w:rsidR="006F7F3B" w:rsidRPr="006F7F3B">
        <w:rPr>
          <w:lang w:val="en-US"/>
        </w:rPr>
        <w:t xml:space="preserve"> the formal review process</w:t>
      </w:r>
      <w:r w:rsidR="00B158A2">
        <w:rPr>
          <w:lang w:val="en-US"/>
        </w:rPr>
        <w:t>.</w:t>
      </w:r>
    </w:p>
    <w:p w14:paraId="20089009" w14:textId="5AE56DDD" w:rsidR="00E75621" w:rsidRDefault="002656D9" w:rsidP="003B7BF0">
      <w:pPr>
        <w:pStyle w:val="Heading2"/>
        <w:rPr>
          <w:lang w:val="en-US"/>
        </w:rPr>
      </w:pPr>
      <w:bookmarkStart w:id="52" w:name="_Toc490491631"/>
      <w:r>
        <w:rPr>
          <w:lang w:val="en-US"/>
        </w:rPr>
        <w:t>A</w:t>
      </w:r>
      <w:r w:rsidR="00E75621">
        <w:rPr>
          <w:lang w:val="en-US"/>
        </w:rPr>
        <w:t>udits</w:t>
      </w:r>
      <w:bookmarkEnd w:id="52"/>
    </w:p>
    <w:p w14:paraId="7B432943" w14:textId="3E2822B4" w:rsidR="009B1973" w:rsidRDefault="002656D9" w:rsidP="00E75621">
      <w:r>
        <w:t xml:space="preserve">The Department of </w:t>
      </w:r>
      <w:r w:rsidR="00E75621" w:rsidRPr="00E75621">
        <w:t xml:space="preserve">Health conducts </w:t>
      </w:r>
      <w:r w:rsidR="00A53713">
        <w:t>program</w:t>
      </w:r>
      <w:r w:rsidR="00A53713" w:rsidRPr="00E75621">
        <w:t xml:space="preserve"> </w:t>
      </w:r>
      <w:r w:rsidR="00E75621">
        <w:t>audits</w:t>
      </w:r>
      <w:r w:rsidR="00E75621" w:rsidRPr="00E75621">
        <w:t xml:space="preserve"> to </w:t>
      </w:r>
      <w:r w:rsidR="00E75621">
        <w:t xml:space="preserve">check </w:t>
      </w:r>
      <w:r w:rsidR="00E75621" w:rsidRPr="00E75621">
        <w:t>pra</w:t>
      </w:r>
      <w:r w:rsidR="00E75621">
        <w:t>ctices</w:t>
      </w:r>
      <w:r w:rsidR="00E75621" w:rsidRPr="00E75621">
        <w:t xml:space="preserve"> </w:t>
      </w:r>
      <w:r w:rsidR="00E75621">
        <w:t>are complying</w:t>
      </w:r>
      <w:r w:rsidR="00E75621" w:rsidRPr="00E75621">
        <w:t xml:space="preserve"> with P</w:t>
      </w:r>
      <w:r w:rsidR="00797A41">
        <w:t>ractice Nurse Incentive Program (P</w:t>
      </w:r>
      <w:r w:rsidR="00E75621" w:rsidRPr="00E75621">
        <w:t>NIP</w:t>
      </w:r>
      <w:r w:rsidR="00797A41">
        <w:t>)</w:t>
      </w:r>
      <w:r w:rsidR="00E75621" w:rsidRPr="00E75621">
        <w:t xml:space="preserve"> eligibility requirement</w:t>
      </w:r>
      <w:r w:rsidR="00093C4D">
        <w:t>s</w:t>
      </w:r>
      <w:r w:rsidR="00E75621" w:rsidRPr="00E75621">
        <w:t xml:space="preserve"> for PNIP payments. </w:t>
      </w:r>
    </w:p>
    <w:p w14:paraId="47E53DC9" w14:textId="1159825E" w:rsidR="002420B1" w:rsidRDefault="009B1973" w:rsidP="00E75621">
      <w:r>
        <w:t xml:space="preserve">If </w:t>
      </w:r>
      <w:r w:rsidR="009C6D96">
        <w:t>a</w:t>
      </w:r>
      <w:r>
        <w:t xml:space="preserve"> practice is unable </w:t>
      </w:r>
      <w:r w:rsidR="00E75621" w:rsidRPr="00E75621">
        <w:t>to provide information to substantiate the</w:t>
      </w:r>
      <w:r>
        <w:t>ir</w:t>
      </w:r>
      <w:r w:rsidR="00E75621" w:rsidRPr="00E75621">
        <w:t xml:space="preserve"> </w:t>
      </w:r>
      <w:r w:rsidR="00A53713">
        <w:t>eligibility</w:t>
      </w:r>
      <w:r>
        <w:t xml:space="preserve">, </w:t>
      </w:r>
      <w:r w:rsidR="00E75621" w:rsidRPr="00E75621">
        <w:t>past PNIP payments for up to 6 years</w:t>
      </w:r>
      <w:r>
        <w:t xml:space="preserve"> may be recovered</w:t>
      </w:r>
      <w:r w:rsidR="00E75621" w:rsidRPr="00E75621">
        <w:t xml:space="preserve">. </w:t>
      </w:r>
    </w:p>
    <w:p w14:paraId="461C61B1" w14:textId="589C8937" w:rsidR="002420B1" w:rsidRPr="00E75621" w:rsidRDefault="00DA7828" w:rsidP="002420B1">
      <w:pPr>
        <w:rPr>
          <w:lang w:val="en-GB"/>
        </w:rPr>
      </w:pPr>
      <w:r>
        <w:rPr>
          <w:lang w:val="en-GB"/>
        </w:rPr>
        <w:t xml:space="preserve">If </w:t>
      </w:r>
      <w:r w:rsidR="009C6D96">
        <w:rPr>
          <w:lang w:val="en-GB"/>
        </w:rPr>
        <w:t>a practice</w:t>
      </w:r>
      <w:r>
        <w:rPr>
          <w:lang w:val="en-GB"/>
        </w:rPr>
        <w:t xml:space="preserve"> </w:t>
      </w:r>
      <w:r w:rsidR="009C6D96">
        <w:rPr>
          <w:lang w:val="en-GB"/>
        </w:rPr>
        <w:t>gets</w:t>
      </w:r>
      <w:r>
        <w:rPr>
          <w:lang w:val="en-GB"/>
        </w:rPr>
        <w:t xml:space="preserve"> P</w:t>
      </w:r>
      <w:r w:rsidR="00797A41">
        <w:rPr>
          <w:lang w:val="en-GB"/>
        </w:rPr>
        <w:t>ractice Incentives Program (P</w:t>
      </w:r>
      <w:r>
        <w:rPr>
          <w:lang w:val="en-GB"/>
        </w:rPr>
        <w:t>IP</w:t>
      </w:r>
      <w:r w:rsidR="00797A41">
        <w:rPr>
          <w:lang w:val="en-GB"/>
        </w:rPr>
        <w:t>)</w:t>
      </w:r>
      <w:r>
        <w:rPr>
          <w:lang w:val="en-GB"/>
        </w:rPr>
        <w:t xml:space="preserve"> payments, these</w:t>
      </w:r>
      <w:r w:rsidR="002420B1" w:rsidRPr="00E75621">
        <w:rPr>
          <w:lang w:val="en-GB"/>
        </w:rPr>
        <w:t xml:space="preserve"> payments ma</w:t>
      </w:r>
      <w:r w:rsidR="002420B1">
        <w:rPr>
          <w:lang w:val="en-GB"/>
        </w:rPr>
        <w:t>y also be recovered i</w:t>
      </w:r>
      <w:r w:rsidR="002420B1" w:rsidRPr="00E75621">
        <w:rPr>
          <w:lang w:val="en-GB"/>
        </w:rPr>
        <w:t xml:space="preserve">f </w:t>
      </w:r>
      <w:r w:rsidR="009C6D96">
        <w:rPr>
          <w:lang w:val="en-GB"/>
        </w:rPr>
        <w:t>the</w:t>
      </w:r>
      <w:r w:rsidR="002420B1" w:rsidRPr="00E75621">
        <w:rPr>
          <w:lang w:val="en-GB"/>
        </w:rPr>
        <w:t xml:space="preserve"> practice is found </w:t>
      </w:r>
      <w:r w:rsidR="002420B1">
        <w:rPr>
          <w:lang w:val="en-GB"/>
        </w:rPr>
        <w:t xml:space="preserve">to be </w:t>
      </w:r>
      <w:r w:rsidR="002420B1" w:rsidRPr="00E75621">
        <w:rPr>
          <w:lang w:val="en-GB"/>
        </w:rPr>
        <w:t xml:space="preserve">noncompliant </w:t>
      </w:r>
      <w:r w:rsidR="002420B1">
        <w:rPr>
          <w:lang w:val="en-GB"/>
        </w:rPr>
        <w:t>with</w:t>
      </w:r>
      <w:r w:rsidR="002420B1" w:rsidRPr="00E75621">
        <w:rPr>
          <w:lang w:val="en-GB"/>
        </w:rPr>
        <w:t xml:space="preserve"> the eligibility requirements for accreditation, public liability or professional indemnity of the PNIP</w:t>
      </w:r>
      <w:r>
        <w:rPr>
          <w:lang w:val="en-GB"/>
        </w:rPr>
        <w:t xml:space="preserve">. </w:t>
      </w:r>
      <w:r w:rsidR="002420B1" w:rsidRPr="00E75621">
        <w:rPr>
          <w:lang w:val="en-GB"/>
        </w:rPr>
        <w:t xml:space="preserve"> </w:t>
      </w:r>
    </w:p>
    <w:p w14:paraId="195620BE" w14:textId="0CC144AF" w:rsidR="00E75621" w:rsidRPr="00E75621" w:rsidRDefault="00DA7828" w:rsidP="00DA7828">
      <w:pPr>
        <w:rPr>
          <w:lang w:val="en-GB"/>
        </w:rPr>
      </w:pPr>
      <w:r>
        <w:rPr>
          <w:lang w:val="en-GB"/>
        </w:rPr>
        <w:t>If requested, p</w:t>
      </w:r>
      <w:r w:rsidR="00E75621" w:rsidRPr="00E75621">
        <w:rPr>
          <w:lang w:val="en-GB"/>
        </w:rPr>
        <w:t xml:space="preserve">ractices must be able to provide the following </w:t>
      </w:r>
      <w:r w:rsidR="008702B6">
        <w:rPr>
          <w:lang w:val="en-GB"/>
        </w:rPr>
        <w:t>information</w:t>
      </w:r>
      <w:r w:rsidR="00E75621" w:rsidRPr="00E75621">
        <w:rPr>
          <w:lang w:val="en-GB"/>
        </w:rPr>
        <w:t>:</w:t>
      </w:r>
    </w:p>
    <w:p w14:paraId="7414EB8B" w14:textId="44A36C46" w:rsidR="00E75621" w:rsidRPr="00E75621" w:rsidRDefault="00E75621" w:rsidP="00EB5FA2">
      <w:pPr>
        <w:pStyle w:val="PNIPbullets"/>
        <w:rPr>
          <w:lang w:val="en-GB"/>
        </w:rPr>
      </w:pPr>
      <w:r w:rsidRPr="00E75621">
        <w:rPr>
          <w:lang w:val="en-GB"/>
        </w:rPr>
        <w:t xml:space="preserve">evidence </w:t>
      </w:r>
      <w:r w:rsidR="008702B6">
        <w:rPr>
          <w:lang w:val="en-GB"/>
        </w:rPr>
        <w:t>of current registration of the practice nurse, allied health p</w:t>
      </w:r>
      <w:r w:rsidRPr="00E75621">
        <w:rPr>
          <w:lang w:val="en-GB"/>
        </w:rPr>
        <w:t xml:space="preserve">rofessionals, and/or </w:t>
      </w:r>
      <w:r w:rsidR="0037699E" w:rsidRPr="004A609F">
        <w:rPr>
          <w:lang w:val="en-GB"/>
        </w:rPr>
        <w:t>Aboriginal and Torres Strait Islander Health Practitioners</w:t>
      </w:r>
      <w:r w:rsidRPr="00E75621">
        <w:rPr>
          <w:lang w:val="en-GB"/>
        </w:rPr>
        <w:t xml:space="preserve"> at the practice</w:t>
      </w:r>
    </w:p>
    <w:p w14:paraId="619D2443" w14:textId="2D931773" w:rsidR="00E75621" w:rsidRPr="00E75621" w:rsidRDefault="00E75621" w:rsidP="00EB5FA2">
      <w:pPr>
        <w:pStyle w:val="PNIPbullets"/>
        <w:rPr>
          <w:lang w:val="en-GB"/>
        </w:rPr>
      </w:pPr>
      <w:r w:rsidRPr="00E75621">
        <w:rPr>
          <w:lang w:val="en-GB"/>
        </w:rPr>
        <w:t>evidence o</w:t>
      </w:r>
      <w:r w:rsidR="006925EB">
        <w:rPr>
          <w:lang w:val="en-GB"/>
        </w:rPr>
        <w:t>f the hours worked by eligible practice n</w:t>
      </w:r>
      <w:r w:rsidRPr="00E75621">
        <w:rPr>
          <w:lang w:val="en-GB"/>
        </w:rPr>
        <w:t xml:space="preserve">urses, </w:t>
      </w:r>
      <w:r w:rsidR="006925EB">
        <w:rPr>
          <w:lang w:val="en-GB"/>
        </w:rPr>
        <w:t>allied health p</w:t>
      </w:r>
      <w:r w:rsidRPr="00E75621">
        <w:rPr>
          <w:lang w:val="en-GB"/>
        </w:rPr>
        <w:t xml:space="preserve">rofessionals, </w:t>
      </w:r>
      <w:r w:rsidR="0037699E" w:rsidRPr="004A609F">
        <w:rPr>
          <w:lang w:val="en-GB"/>
        </w:rPr>
        <w:t>Aboriginal and Torres Strait Islander Health Workers</w:t>
      </w:r>
      <w:r w:rsidRPr="00A93998">
        <w:rPr>
          <w:lang w:val="en-GB"/>
        </w:rPr>
        <w:t xml:space="preserve"> and Aboriginal and Torres Strai</w:t>
      </w:r>
      <w:r w:rsidR="006925EB" w:rsidRPr="00A93998">
        <w:rPr>
          <w:lang w:val="en-GB"/>
        </w:rPr>
        <w:t xml:space="preserve">t Islander </w:t>
      </w:r>
      <w:r w:rsidR="00912A3F" w:rsidRPr="004A609F">
        <w:rPr>
          <w:lang w:val="en-GB"/>
        </w:rPr>
        <w:t>H</w:t>
      </w:r>
      <w:r w:rsidR="006925EB" w:rsidRPr="00A93998">
        <w:rPr>
          <w:lang w:val="en-GB"/>
        </w:rPr>
        <w:t xml:space="preserve">ealth </w:t>
      </w:r>
      <w:r w:rsidR="00912A3F" w:rsidRPr="004A609F">
        <w:rPr>
          <w:lang w:val="en-GB"/>
        </w:rPr>
        <w:t>P</w:t>
      </w:r>
      <w:r w:rsidR="006925EB" w:rsidRPr="00A93998">
        <w:rPr>
          <w:lang w:val="en-GB"/>
        </w:rPr>
        <w:t>ractitioners</w:t>
      </w:r>
      <w:r w:rsidR="006925EB">
        <w:rPr>
          <w:lang w:val="en-GB"/>
        </w:rPr>
        <w:t xml:space="preserve"> </w:t>
      </w:r>
      <w:r w:rsidR="00F15D28">
        <w:rPr>
          <w:lang w:val="en-GB"/>
        </w:rPr>
        <w:t>–</w:t>
      </w:r>
      <w:r w:rsidRPr="00E75621">
        <w:rPr>
          <w:lang w:val="en-GB"/>
        </w:rPr>
        <w:t xml:space="preserve"> for example</w:t>
      </w:r>
      <w:r w:rsidR="006925EB">
        <w:rPr>
          <w:lang w:val="en-GB"/>
        </w:rPr>
        <w:t>, time sheets</w:t>
      </w:r>
      <w:r w:rsidRPr="00E75621">
        <w:rPr>
          <w:lang w:val="en-GB"/>
        </w:rPr>
        <w:t xml:space="preserve"> </w:t>
      </w:r>
    </w:p>
    <w:p w14:paraId="6485066A" w14:textId="0AB38F26" w:rsidR="00E75621" w:rsidRPr="00E75621" w:rsidRDefault="00E75621" w:rsidP="00EB5FA2">
      <w:pPr>
        <w:pStyle w:val="PNIPbullets"/>
        <w:rPr>
          <w:lang w:val="en-GB"/>
        </w:rPr>
      </w:pPr>
      <w:r w:rsidRPr="00E75621">
        <w:rPr>
          <w:lang w:val="en-GB"/>
        </w:rPr>
        <w:t>evidence of documented s</w:t>
      </w:r>
      <w:r w:rsidR="006925EB">
        <w:rPr>
          <w:lang w:val="en-GB"/>
        </w:rPr>
        <w:t>upervisory arrangements if the enrolled n</w:t>
      </w:r>
      <w:r w:rsidRPr="00E75621">
        <w:rPr>
          <w:lang w:val="en-GB"/>
        </w:rPr>
        <w:t xml:space="preserve">urse is employed at a different location to the </w:t>
      </w:r>
      <w:r w:rsidR="006925EB">
        <w:rPr>
          <w:lang w:val="en-GB"/>
        </w:rPr>
        <w:t>r</w:t>
      </w:r>
      <w:r w:rsidRPr="00E75621">
        <w:rPr>
          <w:lang w:val="en-GB"/>
        </w:rPr>
        <w:t xml:space="preserve">egistered </w:t>
      </w:r>
      <w:r w:rsidR="006925EB">
        <w:rPr>
          <w:lang w:val="en-GB"/>
        </w:rPr>
        <w:t>nurse</w:t>
      </w:r>
      <w:r w:rsidRPr="00E75621">
        <w:rPr>
          <w:lang w:val="en-GB"/>
        </w:rPr>
        <w:t xml:space="preserve"> </w:t>
      </w:r>
    </w:p>
    <w:p w14:paraId="5E53F5CF" w14:textId="7EF75377" w:rsidR="00E75621" w:rsidRPr="00E75621" w:rsidDel="00CC51E2" w:rsidRDefault="00093C4D" w:rsidP="00EB5FA2">
      <w:pPr>
        <w:pStyle w:val="PNIPbullets"/>
        <w:rPr>
          <w:b/>
          <w:bCs/>
          <w:lang w:val="en-GB"/>
        </w:rPr>
      </w:pPr>
      <w:r>
        <w:t xml:space="preserve">PIP consenting practices must remain eligible for PIP to receive PNIP payments </w:t>
      </w:r>
    </w:p>
    <w:p w14:paraId="5609F637" w14:textId="711D636B" w:rsidR="00E75621" w:rsidRPr="00E75621" w:rsidDel="00CC51E2" w:rsidRDefault="00E75621" w:rsidP="00EB5FA2">
      <w:pPr>
        <w:pStyle w:val="PNIPbullets"/>
      </w:pPr>
      <w:r w:rsidRPr="00E75621">
        <w:t>c</w:t>
      </w:r>
      <w:r w:rsidRPr="00E75621" w:rsidDel="00CC51E2">
        <w:t>onfirm</w:t>
      </w:r>
      <w:r w:rsidRPr="00E75621">
        <w:t>ation of</w:t>
      </w:r>
      <w:r w:rsidRPr="00E75621" w:rsidDel="00CC51E2">
        <w:t xml:space="preserve"> details contained in the </w:t>
      </w:r>
      <w:r w:rsidR="002811BD">
        <w:t>quarterly confirmation statements</w:t>
      </w:r>
    </w:p>
    <w:p w14:paraId="12949A21" w14:textId="6CE5C1E8" w:rsidR="00233CE1" w:rsidRPr="00E75621" w:rsidRDefault="00E75621" w:rsidP="00233CE1">
      <w:pPr>
        <w:pStyle w:val="PNIPbullets"/>
        <w:rPr>
          <w:lang w:val="en-GB"/>
        </w:rPr>
      </w:pPr>
      <w:r w:rsidRPr="00E75621">
        <w:rPr>
          <w:lang w:val="en-GB"/>
        </w:rPr>
        <w:t>evidence</w:t>
      </w:r>
      <w:r w:rsidR="00233CE1">
        <w:rPr>
          <w:lang w:val="en-GB"/>
        </w:rPr>
        <w:t xml:space="preserve"> of public liability insurance of $10 million or more (</w:t>
      </w:r>
      <w:r w:rsidR="00233CE1">
        <w:rPr>
          <w:b/>
          <w:lang w:val="en-GB"/>
        </w:rPr>
        <w:t>Note:</w:t>
      </w:r>
      <w:r w:rsidR="00233CE1">
        <w:rPr>
          <w:lang w:val="en-GB"/>
        </w:rPr>
        <w:t xml:space="preserve"> Legal liability is not Public liability) </w:t>
      </w:r>
    </w:p>
    <w:p w14:paraId="317481F2" w14:textId="5844DFC1" w:rsidR="00233CE1" w:rsidRDefault="00233CE1" w:rsidP="00EB5FA2">
      <w:pPr>
        <w:pStyle w:val="PNIPbullets"/>
        <w:rPr>
          <w:lang w:val="en-GB"/>
        </w:rPr>
      </w:pPr>
      <w:r>
        <w:rPr>
          <w:lang w:val="en-GB"/>
        </w:rPr>
        <w:t xml:space="preserve">evidence of professional indemnity insurance for all </w:t>
      </w:r>
      <w:r w:rsidR="002656D9">
        <w:rPr>
          <w:lang w:val="en-GB"/>
        </w:rPr>
        <w:t>g</w:t>
      </w:r>
      <w:r w:rsidR="003375C4">
        <w:rPr>
          <w:lang w:val="en-GB"/>
        </w:rPr>
        <w:t xml:space="preserve">eneral </w:t>
      </w:r>
      <w:r w:rsidR="002656D9">
        <w:rPr>
          <w:lang w:val="en-GB"/>
        </w:rPr>
        <w:t>p</w:t>
      </w:r>
      <w:r w:rsidR="003375C4">
        <w:rPr>
          <w:lang w:val="en-GB"/>
        </w:rPr>
        <w:t>ractitioners</w:t>
      </w:r>
      <w:r>
        <w:rPr>
          <w:lang w:val="en-GB"/>
        </w:rPr>
        <w:t xml:space="preserve">, practice nurses, allied health professionals, </w:t>
      </w:r>
      <w:r w:rsidR="0037699E" w:rsidRPr="004A609F">
        <w:rPr>
          <w:lang w:val="en-GB"/>
        </w:rPr>
        <w:t>Aboriginal and Torres Strait Islander Health Workers</w:t>
      </w:r>
      <w:r w:rsidRPr="00A93998">
        <w:rPr>
          <w:lang w:val="en-GB"/>
        </w:rPr>
        <w:t xml:space="preserve"> and </w:t>
      </w:r>
      <w:r w:rsidR="0037699E" w:rsidRPr="004A609F">
        <w:rPr>
          <w:lang w:val="en-GB"/>
        </w:rPr>
        <w:t>Aboriginal and Torres Strait Islander Health Practitioners</w:t>
      </w:r>
      <w:r w:rsidRPr="00A93998">
        <w:rPr>
          <w:lang w:val="en-GB"/>
        </w:rPr>
        <w:t>.</w:t>
      </w:r>
    </w:p>
    <w:p w14:paraId="6CCA9C74" w14:textId="36B64EC4" w:rsidR="00233CE1" w:rsidRDefault="00233CE1" w:rsidP="004A609F">
      <w:pPr>
        <w:pStyle w:val="PNIPbullets"/>
        <w:numPr>
          <w:ilvl w:val="1"/>
          <w:numId w:val="2"/>
        </w:numPr>
        <w:rPr>
          <w:lang w:val="en-GB"/>
        </w:rPr>
      </w:pPr>
      <w:r>
        <w:rPr>
          <w:lang w:val="en-GB"/>
        </w:rPr>
        <w:t xml:space="preserve">for </w:t>
      </w:r>
      <w:r w:rsidR="00315C52">
        <w:rPr>
          <w:lang w:val="en-GB"/>
        </w:rPr>
        <w:t xml:space="preserve">those health </w:t>
      </w:r>
      <w:r>
        <w:rPr>
          <w:lang w:val="en-GB"/>
        </w:rPr>
        <w:t>profession</w:t>
      </w:r>
      <w:r w:rsidR="00683023">
        <w:rPr>
          <w:lang w:val="en-GB"/>
        </w:rPr>
        <w:t>al</w:t>
      </w:r>
      <w:r>
        <w:rPr>
          <w:lang w:val="en-GB"/>
        </w:rPr>
        <w:t xml:space="preserve">s that are registered under the </w:t>
      </w:r>
      <w:r w:rsidR="003375C4" w:rsidRPr="003802EA">
        <w:rPr>
          <w:lang w:val="en-GB"/>
        </w:rPr>
        <w:t>National Registration and Accreditation Scheme</w:t>
      </w:r>
      <w:r>
        <w:rPr>
          <w:lang w:val="en-GB"/>
        </w:rPr>
        <w:t>, the level of insurance is specified by the relevant Board</w:t>
      </w:r>
      <w:r w:rsidR="00F53459">
        <w:rPr>
          <w:lang w:val="en-GB"/>
        </w:rPr>
        <w:t>,</w:t>
      </w:r>
      <w:r>
        <w:rPr>
          <w:lang w:val="en-GB"/>
        </w:rPr>
        <w:t xml:space="preserve"> and </w:t>
      </w:r>
    </w:p>
    <w:p w14:paraId="3A9983F2" w14:textId="3403AC46" w:rsidR="00233CE1" w:rsidRPr="002656D9" w:rsidRDefault="00233CE1" w:rsidP="004A609F">
      <w:pPr>
        <w:pStyle w:val="PNIPbullets"/>
        <w:numPr>
          <w:ilvl w:val="1"/>
          <w:numId w:val="2"/>
        </w:numPr>
        <w:rPr>
          <w:lang w:val="en-GB"/>
        </w:rPr>
      </w:pPr>
      <w:r>
        <w:rPr>
          <w:lang w:val="en-GB"/>
        </w:rPr>
        <w:t xml:space="preserve">where the practice nurses, </w:t>
      </w:r>
      <w:r w:rsidR="0037699E" w:rsidRPr="004A609F">
        <w:rPr>
          <w:lang w:val="en-GB"/>
        </w:rPr>
        <w:t>Aboriginal and Torres Strait Islander Health Workers</w:t>
      </w:r>
      <w:r w:rsidRPr="00A93998">
        <w:rPr>
          <w:lang w:val="en-GB"/>
        </w:rPr>
        <w:t xml:space="preserve"> and </w:t>
      </w:r>
      <w:r w:rsidR="0037699E" w:rsidRPr="004A609F">
        <w:rPr>
          <w:lang w:val="en-GB"/>
        </w:rPr>
        <w:t>Aboriginal and Torres Strait Islander Health Practitioners</w:t>
      </w:r>
      <w:r>
        <w:rPr>
          <w:lang w:val="en-GB"/>
        </w:rPr>
        <w:t xml:space="preserve"> and allied health professionals are not employees of the eligible organisation, they must have the same minimum level of insurance coverage as required</w:t>
      </w:r>
      <w:r w:rsidR="00AB13AA" w:rsidRPr="00AB13AA">
        <w:rPr>
          <w:lang w:val="en-GB"/>
        </w:rPr>
        <w:t xml:space="preserve"> </w:t>
      </w:r>
      <w:r w:rsidR="00AB13AA">
        <w:rPr>
          <w:lang w:val="en-GB"/>
        </w:rPr>
        <w:t>in their name</w:t>
      </w:r>
      <w:r>
        <w:rPr>
          <w:lang w:val="en-GB"/>
        </w:rPr>
        <w:t>.</w:t>
      </w:r>
    </w:p>
    <w:p w14:paraId="15121EFB" w14:textId="63077982" w:rsidR="00E84446" w:rsidRDefault="002656D9" w:rsidP="00924A76">
      <w:pPr>
        <w:pStyle w:val="PNIPbullets"/>
      </w:pPr>
      <w:bookmarkStart w:id="53" w:name="_Toc454456844"/>
      <w:r>
        <w:t>p</w:t>
      </w:r>
      <w:r w:rsidR="00E75621" w:rsidRPr="00E75621">
        <w:t xml:space="preserve">ractices must retain a copy of the above documents on practice files for a minimum period of </w:t>
      </w:r>
      <w:r w:rsidR="00E84446">
        <w:t>6</w:t>
      </w:r>
      <w:r w:rsidR="00E75621" w:rsidRPr="00E75621">
        <w:t xml:space="preserve"> years</w:t>
      </w:r>
    </w:p>
    <w:p w14:paraId="67E41E0C" w14:textId="2D1D4416" w:rsidR="00E75621" w:rsidRDefault="00E75621" w:rsidP="00E84446">
      <w:r w:rsidRPr="00E75621">
        <w:t>If a practitioner leaves a practice and an au</w:t>
      </w:r>
      <w:r w:rsidR="00E84446">
        <w:t>dit is conducted for a time</w:t>
      </w:r>
      <w:r w:rsidRPr="00E75621">
        <w:t xml:space="preserve"> </w:t>
      </w:r>
      <w:r w:rsidR="00E84446">
        <w:t>when that</w:t>
      </w:r>
      <w:r w:rsidRPr="00E75621">
        <w:t xml:space="preserve"> practitioner was at the practice, </w:t>
      </w:r>
      <w:r w:rsidR="009C6D96">
        <w:t>the practice</w:t>
      </w:r>
      <w:r w:rsidR="00E84446">
        <w:t xml:space="preserve"> will still need to provide </w:t>
      </w:r>
      <w:r w:rsidRPr="00E75621">
        <w:t xml:space="preserve">evidence that the </w:t>
      </w:r>
      <w:r w:rsidR="000F6A76">
        <w:t xml:space="preserve">professional </w:t>
      </w:r>
      <w:r w:rsidRPr="00E75621">
        <w:t>indemnity insurance was maintained during their employment.</w:t>
      </w:r>
      <w:bookmarkEnd w:id="53"/>
    </w:p>
    <w:p w14:paraId="4B39D50D" w14:textId="0BF4B72D" w:rsidR="00090F73" w:rsidRDefault="004A609F" w:rsidP="003B7BF0">
      <w:pPr>
        <w:pStyle w:val="Heading2"/>
      </w:pPr>
      <w:bookmarkStart w:id="54" w:name="_Toc490491632"/>
      <w:r>
        <w:t>Contact us</w:t>
      </w:r>
      <w:bookmarkEnd w:id="54"/>
    </w:p>
    <w:p w14:paraId="3DF3AEB3" w14:textId="16819983" w:rsidR="00090F73" w:rsidRPr="004A609F" w:rsidRDefault="00090F73" w:rsidP="00E84446">
      <w:r w:rsidRPr="004A609F">
        <w:t xml:space="preserve">For more information contact </w:t>
      </w:r>
      <w:r w:rsidRPr="00C142F0">
        <w:t xml:space="preserve">the </w:t>
      </w:r>
      <w:hyperlink r:id="rId18" w:history="1">
        <w:r w:rsidRPr="004C32F0">
          <w:rPr>
            <w:rStyle w:val="Hyperlink"/>
          </w:rPr>
          <w:t>Incentive Programmes</w:t>
        </w:r>
      </w:hyperlink>
      <w:r w:rsidRPr="00C142F0">
        <w:t xml:space="preserve">. </w:t>
      </w:r>
    </w:p>
    <w:p w14:paraId="5CD4B333" w14:textId="1DC17EE8" w:rsidR="006F7F3B" w:rsidRDefault="002656D9" w:rsidP="003B7BF0">
      <w:pPr>
        <w:pStyle w:val="Heading2"/>
      </w:pPr>
      <w:bookmarkStart w:id="55" w:name="_Toc490491633"/>
      <w:r>
        <w:t>D</w:t>
      </w:r>
      <w:r w:rsidR="00703D74">
        <w:t>isclaimer</w:t>
      </w:r>
      <w:bookmarkEnd w:id="55"/>
    </w:p>
    <w:p w14:paraId="5C7C073F" w14:textId="2880DECB" w:rsidR="00122BB0" w:rsidRPr="00EB5FA2" w:rsidRDefault="00122BB0" w:rsidP="00241CE9">
      <w:r w:rsidRPr="00EB5FA2">
        <w:t>T</w:t>
      </w:r>
      <w:r w:rsidR="009820A1">
        <w:t>hese</w:t>
      </w:r>
      <w:r w:rsidRPr="00EB5FA2">
        <w:t xml:space="preserve"> guideline</w:t>
      </w:r>
      <w:r w:rsidR="00A3723B">
        <w:t>s are</w:t>
      </w:r>
      <w:r w:rsidRPr="00EB5FA2">
        <w:t xml:space="preserve"> for information purposes and provides the basis upon which PNIP payments are made. While it is intended that the Australian Government will make payments as set out in these guidelines, payments </w:t>
      </w:r>
      <w:r w:rsidR="00241CE9">
        <w:t>are made</w:t>
      </w:r>
      <w:r w:rsidRPr="00EB5FA2">
        <w:t xml:space="preserve"> at its sole discretion. The Australian Government may alter arrangements for the </w:t>
      </w:r>
      <w:r w:rsidR="008F6E73">
        <w:t>PNIP</w:t>
      </w:r>
      <w:r w:rsidRPr="00EB5FA2">
        <w:t xml:space="preserve"> at any time and without notice. The </w:t>
      </w:r>
      <w:r w:rsidR="00A3723B">
        <w:t>Australian G</w:t>
      </w:r>
      <w:r w:rsidRPr="00EB5FA2">
        <w:t>overnment does not accept any legal liability or responsibility for any injury, loss or damage incurred by the use of, reliance on, or interpretation of the information provided in these guidelines.</w:t>
      </w:r>
    </w:p>
    <w:p w14:paraId="5C2985C1" w14:textId="6263BC65" w:rsidR="00122BB0" w:rsidRDefault="00F15D28" w:rsidP="003B7BF0">
      <w:pPr>
        <w:pStyle w:val="Heading2"/>
      </w:pPr>
      <w:bookmarkStart w:id="56" w:name="_+_Glossary_of"/>
      <w:bookmarkStart w:id="57" w:name="_Toc490491634"/>
      <w:bookmarkEnd w:id="56"/>
      <w:r>
        <w:t>Glossary of PNIP terms</w:t>
      </w:r>
      <w:bookmarkEnd w:id="57"/>
    </w:p>
    <w:p w14:paraId="174FF7C4" w14:textId="572BBA3D" w:rsidR="00F15D28" w:rsidRPr="00F15D28" w:rsidRDefault="00F15D28" w:rsidP="00F15D28">
      <w:r w:rsidRPr="00F15D28">
        <w:t xml:space="preserve">The following terms have the meaning given below whenever they are used in these </w:t>
      </w:r>
      <w:r>
        <w:t>g</w:t>
      </w:r>
      <w:r w:rsidRPr="00F15D28">
        <w:t xml:space="preserve">uidelines. </w:t>
      </w:r>
    </w:p>
    <w:p w14:paraId="58E61661" w14:textId="72EFD734" w:rsidR="00F15D28" w:rsidRPr="00F15D28" w:rsidRDefault="0037699E" w:rsidP="00F15D28">
      <w:r w:rsidRPr="004A609F">
        <w:rPr>
          <w:b/>
          <w:i/>
        </w:rPr>
        <w:t>Aboriginal and Torres Strait Islander Health Worker</w:t>
      </w:r>
      <w:r w:rsidR="00F15D28" w:rsidRPr="00A93998">
        <w:rPr>
          <w:b/>
          <w:i/>
        </w:rPr>
        <w:t xml:space="preserve"> </w:t>
      </w:r>
      <w:r w:rsidR="00F15D28" w:rsidRPr="00A93998">
        <w:t>is</w:t>
      </w:r>
      <w:r w:rsidR="00F15D28" w:rsidRPr="00F15D28">
        <w:t xml:space="preserve"> an Aboriginal and Torres Strait Islander person who: </w:t>
      </w:r>
    </w:p>
    <w:p w14:paraId="0DF57E27" w14:textId="7761377E" w:rsidR="00F15D28" w:rsidRPr="00F15D28" w:rsidRDefault="00F15D28" w:rsidP="004A609F">
      <w:pPr>
        <w:numPr>
          <w:ilvl w:val="0"/>
          <w:numId w:val="5"/>
        </w:numPr>
      </w:pPr>
      <w:r w:rsidRPr="00F15D28">
        <w:t xml:space="preserve">is employed in an Aboriginal and Torres Strait Islander identified position </w:t>
      </w:r>
      <w:r>
        <w:t>by the practice</w:t>
      </w:r>
      <w:r w:rsidRPr="00F15D28">
        <w:t xml:space="preserve"> </w:t>
      </w:r>
    </w:p>
    <w:p w14:paraId="1DF55BC3" w14:textId="743C74C4" w:rsidR="00F15D28" w:rsidRPr="00F15D28" w:rsidRDefault="00F15D28" w:rsidP="004A609F">
      <w:pPr>
        <w:numPr>
          <w:ilvl w:val="0"/>
          <w:numId w:val="5"/>
        </w:numPr>
      </w:pPr>
      <w:r w:rsidRPr="00F15D28">
        <w:t>has undertaken a minimum Certificate III in Aboriginal and/or Torres Strait Islander Primary Health Care</w:t>
      </w:r>
      <w:r>
        <w:t>,</w:t>
      </w:r>
      <w:r w:rsidRPr="00F15D28">
        <w:t xml:space="preserve"> and</w:t>
      </w:r>
    </w:p>
    <w:p w14:paraId="68CE0727" w14:textId="761FCE56" w:rsidR="00F15D28" w:rsidRPr="00F15D28" w:rsidRDefault="00F15D28" w:rsidP="004A609F">
      <w:pPr>
        <w:numPr>
          <w:ilvl w:val="0"/>
          <w:numId w:val="5"/>
        </w:numPr>
      </w:pPr>
      <w:r w:rsidRPr="00F15D28">
        <w:t xml:space="preserve">provides flexible, holistic and culturally sensitive health services to Aboriginal </w:t>
      </w:r>
      <w:r w:rsidR="00AE3956">
        <w:t xml:space="preserve">and Torres Strait Islander patients </w:t>
      </w:r>
      <w:r w:rsidRPr="00F15D28">
        <w:t xml:space="preserve">and the community to achieve better health outcomes and better access to health services for Aboriginal and Torres Strait Islander people </w:t>
      </w:r>
    </w:p>
    <w:p w14:paraId="57FE0732" w14:textId="3D3BC18A" w:rsidR="00F15D28" w:rsidRPr="00F15D28" w:rsidRDefault="0037699E" w:rsidP="00F15D28">
      <w:r w:rsidRPr="004A609F">
        <w:rPr>
          <w:b/>
          <w:i/>
        </w:rPr>
        <w:t>Aboriginal and Torres Strait Islander Health Practitioner</w:t>
      </w:r>
      <w:r w:rsidR="00F15D28" w:rsidRPr="00A93998">
        <w:rPr>
          <w:b/>
          <w:i/>
        </w:rPr>
        <w:t xml:space="preserve"> </w:t>
      </w:r>
      <w:r w:rsidR="00F15D28" w:rsidRPr="00A93998">
        <w:t>is</w:t>
      </w:r>
      <w:r w:rsidR="00F15D28" w:rsidRPr="00F15D28">
        <w:rPr>
          <w:i/>
        </w:rPr>
        <w:t xml:space="preserve"> </w:t>
      </w:r>
      <w:r w:rsidR="00F15D28" w:rsidRPr="00F15D28">
        <w:t xml:space="preserve">an Aboriginal and/or Torres Strait Islander person who: </w:t>
      </w:r>
    </w:p>
    <w:p w14:paraId="4766EC38" w14:textId="387D9041" w:rsidR="00F15D28" w:rsidRPr="00F15D28" w:rsidRDefault="00F15D28" w:rsidP="004A609F">
      <w:pPr>
        <w:numPr>
          <w:ilvl w:val="0"/>
          <w:numId w:val="6"/>
        </w:numPr>
        <w:rPr>
          <w:b/>
          <w:i/>
        </w:rPr>
      </w:pPr>
      <w:r w:rsidRPr="00F15D28">
        <w:t>is employed in an Aboriginal and Torres Strait Islander iden</w:t>
      </w:r>
      <w:r>
        <w:t>tified position by the practice</w:t>
      </w:r>
      <w:r w:rsidRPr="00F15D28">
        <w:t xml:space="preserve"> </w:t>
      </w:r>
    </w:p>
    <w:p w14:paraId="5280FF21" w14:textId="03027E05" w:rsidR="00F15D28" w:rsidRPr="00F15D28" w:rsidRDefault="00F15D28" w:rsidP="004A609F">
      <w:pPr>
        <w:numPr>
          <w:ilvl w:val="0"/>
          <w:numId w:val="6"/>
        </w:numPr>
        <w:rPr>
          <w:b/>
          <w:i/>
        </w:rPr>
      </w:pPr>
      <w:r w:rsidRPr="00F15D28">
        <w:t>has undertaken a minimum Certificate IV in Aboriginal and/or Torres Stra</w:t>
      </w:r>
      <w:r>
        <w:t>it Islander Primary Health Care,</w:t>
      </w:r>
      <w:r w:rsidRPr="00F15D28">
        <w:t xml:space="preserve"> and </w:t>
      </w:r>
    </w:p>
    <w:p w14:paraId="39C86636" w14:textId="34A86F41" w:rsidR="00F15D28" w:rsidRPr="00F15D28" w:rsidRDefault="00F15D28" w:rsidP="004A609F">
      <w:pPr>
        <w:numPr>
          <w:ilvl w:val="0"/>
          <w:numId w:val="6"/>
        </w:numPr>
        <w:rPr>
          <w:b/>
          <w:i/>
        </w:rPr>
      </w:pPr>
      <w:r w:rsidRPr="00F15D28">
        <w:t>provides flexible, holistic and culturally sensitive health services to Aboriginal clients and the community to achieve better health outcomes and better access to health services for Aboriginal and/o</w:t>
      </w:r>
      <w:r>
        <w:t>r Torres Strait Islander people,</w:t>
      </w:r>
      <w:r w:rsidRPr="00F15D28">
        <w:t xml:space="preserve"> and </w:t>
      </w:r>
    </w:p>
    <w:p w14:paraId="5805FB8F" w14:textId="1D67DD72" w:rsidR="00F15D28" w:rsidRPr="00F15D28" w:rsidRDefault="00F15D28" w:rsidP="004A609F">
      <w:pPr>
        <w:numPr>
          <w:ilvl w:val="0"/>
          <w:numId w:val="6"/>
        </w:numPr>
      </w:pPr>
      <w:r w:rsidRPr="00F15D28">
        <w:t xml:space="preserve">is registered with the </w:t>
      </w:r>
      <w:r w:rsidR="0037699E">
        <w:t>Aboriginal and Torres Strait Islander Health Practitioner</w:t>
      </w:r>
      <w:r>
        <w:t xml:space="preserve"> Board</w:t>
      </w:r>
      <w:r w:rsidRPr="00F15D28">
        <w:t xml:space="preserve">  </w:t>
      </w:r>
    </w:p>
    <w:p w14:paraId="5B20FE6C" w14:textId="205E6A0C" w:rsidR="00F15D28" w:rsidRPr="00F15D28" w:rsidRDefault="00F15D28" w:rsidP="00F15D28">
      <w:r w:rsidRPr="00F15D28">
        <w:rPr>
          <w:b/>
          <w:i/>
        </w:rPr>
        <w:t xml:space="preserve">Accreditation </w:t>
      </w:r>
      <w:r>
        <w:t>is</w:t>
      </w:r>
      <w:r w:rsidRPr="00F15D28">
        <w:rPr>
          <w:b/>
          <w:i/>
        </w:rPr>
        <w:t xml:space="preserve"> </w:t>
      </w:r>
      <w:r w:rsidRPr="00F15D28">
        <w:rPr>
          <w:lang w:val="en-US"/>
        </w:rPr>
        <w:t xml:space="preserve">the independent recognition that a practice meets the requirements of the Royal Australian College of General Practitioner (RACGP) </w:t>
      </w:r>
      <w:r w:rsidRPr="00F15D28">
        <w:rPr>
          <w:i/>
          <w:iCs/>
        </w:rPr>
        <w:t xml:space="preserve">Standards for general practices. </w:t>
      </w:r>
    </w:p>
    <w:p w14:paraId="2F7910E7" w14:textId="26CBD86B" w:rsidR="00F15D28" w:rsidRPr="00F15D28" w:rsidRDefault="00F15D28" w:rsidP="00F15D28">
      <w:pPr>
        <w:rPr>
          <w:b/>
          <w:bCs/>
        </w:rPr>
      </w:pPr>
      <w:r w:rsidRPr="00F15D28">
        <w:rPr>
          <w:b/>
          <w:i/>
        </w:rPr>
        <w:t xml:space="preserve">After-hours Medical Service </w:t>
      </w:r>
      <w:r w:rsidRPr="006912E5">
        <w:t>is</w:t>
      </w:r>
      <w:r>
        <w:rPr>
          <w:i/>
        </w:rPr>
        <w:t xml:space="preserve"> </w:t>
      </w:r>
      <w:r>
        <w:t>defined by</w:t>
      </w:r>
      <w:r w:rsidRPr="00F15D28">
        <w:t xml:space="preserve"> the current RACGP </w:t>
      </w:r>
      <w:r w:rsidRPr="00F15D28">
        <w:rPr>
          <w:i/>
        </w:rPr>
        <w:t xml:space="preserve">Standard for general practices </w:t>
      </w:r>
      <w:r w:rsidRPr="00F15D28">
        <w:t xml:space="preserve">definition as a service that provides care outside the normal business hours of a general practice, whether or not that service deputises for other general practices, and whether or not the care is provided within or outside of the clinic. After-Hours Medical Services are </w:t>
      </w:r>
      <w:r w:rsidRPr="00F15D28">
        <w:rPr>
          <w:b/>
          <w:bCs/>
        </w:rPr>
        <w:t>not</w:t>
      </w:r>
      <w:r w:rsidRPr="00F15D28">
        <w:t xml:space="preserve"> eligible for </w:t>
      </w:r>
      <w:r>
        <w:t xml:space="preserve">the </w:t>
      </w:r>
      <w:r w:rsidR="008F7FB2">
        <w:t>Practice Nurse Incentive Program (</w:t>
      </w:r>
      <w:r w:rsidRPr="00F15D28">
        <w:t>PNIP</w:t>
      </w:r>
      <w:r w:rsidR="008F7FB2">
        <w:t>)</w:t>
      </w:r>
      <w:r w:rsidRPr="00F15D28">
        <w:t xml:space="preserve">.  </w:t>
      </w:r>
    </w:p>
    <w:p w14:paraId="11EAA6D6" w14:textId="3478A7B8" w:rsidR="006A3EDD" w:rsidRPr="006912E5" w:rsidRDefault="00D41E36" w:rsidP="006912E5">
      <w:pPr>
        <w:rPr>
          <w:rFonts w:eastAsia="Calibri"/>
        </w:rPr>
      </w:pPr>
      <w:r>
        <w:rPr>
          <w:b/>
          <w:i/>
        </w:rPr>
        <w:t>Allied h</w:t>
      </w:r>
      <w:r w:rsidR="00F15D28" w:rsidRPr="00F15D28">
        <w:rPr>
          <w:b/>
          <w:i/>
        </w:rPr>
        <w:t xml:space="preserve">ealth </w:t>
      </w:r>
      <w:r>
        <w:rPr>
          <w:b/>
          <w:i/>
        </w:rPr>
        <w:t>p</w:t>
      </w:r>
      <w:r w:rsidR="00F15D28" w:rsidRPr="00F15D28">
        <w:rPr>
          <w:b/>
          <w:i/>
        </w:rPr>
        <w:t>rofessional</w:t>
      </w:r>
      <w:r w:rsidR="00F15D28" w:rsidRPr="00F15D28">
        <w:rPr>
          <w:b/>
        </w:rPr>
        <w:t xml:space="preserve"> </w:t>
      </w:r>
      <w:r w:rsidR="00F15D28">
        <w:t>is</w:t>
      </w:r>
      <w:r w:rsidR="00F15D28" w:rsidRPr="00F15D28">
        <w:t xml:space="preserve"> a person </w:t>
      </w:r>
      <w:r w:rsidR="006A3EDD" w:rsidRPr="00BD7D2E">
        <w:rPr>
          <w:rFonts w:eastAsia="Calibri"/>
        </w:rPr>
        <w:t xml:space="preserve">who </w:t>
      </w:r>
      <w:r w:rsidR="006A3EDD">
        <w:rPr>
          <w:rFonts w:eastAsia="Calibri"/>
        </w:rPr>
        <w:t>has tertiary training</w:t>
      </w:r>
      <w:r w:rsidR="006A3EDD" w:rsidRPr="00BD7D2E">
        <w:rPr>
          <w:rFonts w:eastAsia="Calibri"/>
        </w:rPr>
        <w:t xml:space="preserve"> and recognised qualifications in a discipline distinct from nursing and medicine and who works w</w:t>
      </w:r>
      <w:r w:rsidR="006A3EDD" w:rsidRPr="00CD28F3">
        <w:rPr>
          <w:rFonts w:eastAsia="Calibri"/>
        </w:rPr>
        <w:t xml:space="preserve">ith others in a health care team to support a person’s medical care. They must have the relevant registration, accreditation or membership where required. </w:t>
      </w:r>
    </w:p>
    <w:p w14:paraId="298FBA6D" w14:textId="08CFA4BA" w:rsidR="00F15D28" w:rsidRPr="00F15D28" w:rsidRDefault="00F15D28" w:rsidP="00F15D28">
      <w:pPr>
        <w:rPr>
          <w:iCs/>
        </w:rPr>
      </w:pPr>
      <w:r w:rsidRPr="00F15D28">
        <w:rPr>
          <w:b/>
          <w:i/>
        </w:rPr>
        <w:t xml:space="preserve">Amalgamation </w:t>
      </w:r>
      <w:r>
        <w:t>means</w:t>
      </w:r>
      <w:r w:rsidRPr="00F15D28">
        <w:rPr>
          <w:i/>
        </w:rPr>
        <w:t xml:space="preserve"> </w:t>
      </w:r>
      <w:r>
        <w:rPr>
          <w:iCs/>
        </w:rPr>
        <w:t>2</w:t>
      </w:r>
      <w:r w:rsidRPr="00F15D28">
        <w:rPr>
          <w:iCs/>
        </w:rPr>
        <w:t xml:space="preserve"> or more practices coming together into one common location and sharing access to all patient records, belonging to each of the previously individual practices, and the closure of the remaining original location(s).</w:t>
      </w:r>
    </w:p>
    <w:p w14:paraId="4DAEB96E" w14:textId="21F78106" w:rsidR="00F15D28" w:rsidRPr="00F15D28" w:rsidRDefault="00F15D28" w:rsidP="00F15D28">
      <w:r w:rsidRPr="00F15D28">
        <w:rPr>
          <w:b/>
          <w:i/>
        </w:rPr>
        <w:t>Applicant</w:t>
      </w:r>
      <w:r w:rsidRPr="00F15D28">
        <w:rPr>
          <w:i/>
        </w:rPr>
        <w:t xml:space="preserve"> </w:t>
      </w:r>
      <w:r w:rsidR="00D41E36">
        <w:t>is</w:t>
      </w:r>
      <w:r w:rsidRPr="00F15D28">
        <w:t xml:space="preserve"> the practice applying as named on the </w:t>
      </w:r>
      <w:r w:rsidR="008F7FB2">
        <w:t>PNIP</w:t>
      </w:r>
      <w:r w:rsidR="006A3EDD">
        <w:t xml:space="preserve"> application</w:t>
      </w:r>
      <w:r w:rsidRPr="00F15D28">
        <w:t xml:space="preserve">.  </w:t>
      </w:r>
    </w:p>
    <w:p w14:paraId="51867F8B" w14:textId="0855C350" w:rsidR="00F15D28" w:rsidRPr="00F15D28" w:rsidRDefault="00F15D28" w:rsidP="00F15D28">
      <w:r w:rsidRPr="00F15D28">
        <w:rPr>
          <w:b/>
          <w:i/>
        </w:rPr>
        <w:t>Approved applicant</w:t>
      </w:r>
      <w:r w:rsidRPr="00F15D28">
        <w:t xml:space="preserve"> </w:t>
      </w:r>
      <w:r w:rsidR="00D41E36">
        <w:t>is</w:t>
      </w:r>
      <w:r w:rsidRPr="00F15D28">
        <w:t xml:space="preserve"> an applicant approved by the Delegate for inclusion in the program at an approved location.</w:t>
      </w:r>
    </w:p>
    <w:p w14:paraId="061C1B31" w14:textId="3768E8A4" w:rsidR="00F15D28" w:rsidRPr="00F15D28" w:rsidRDefault="00F15D28" w:rsidP="00F15D28">
      <w:r w:rsidRPr="00F15D28">
        <w:rPr>
          <w:b/>
          <w:i/>
        </w:rPr>
        <w:t>Approved location</w:t>
      </w:r>
      <w:r w:rsidRPr="00F15D28">
        <w:t xml:space="preserve"> </w:t>
      </w:r>
      <w:r w:rsidR="00D41E36">
        <w:t>is</w:t>
      </w:r>
      <w:r w:rsidRPr="00F15D28">
        <w:t xml:space="preserve"> the practice site or sites for which a Delegate has granted approval for the purposes of providing medical services under the program.</w:t>
      </w:r>
    </w:p>
    <w:p w14:paraId="3578DDC8" w14:textId="7A406624" w:rsidR="006A3EDD" w:rsidRPr="006912E5" w:rsidRDefault="006A3EDD" w:rsidP="006A3EDD">
      <w:pPr>
        <w:spacing w:after="160" w:line="259" w:lineRule="auto"/>
        <w:rPr>
          <w:rFonts w:eastAsia="Calibri"/>
        </w:rPr>
      </w:pPr>
      <w:r w:rsidRPr="004C32F0">
        <w:rPr>
          <w:rFonts w:eastAsia="Calibri"/>
          <w:b/>
          <w:i/>
        </w:rPr>
        <w:t>Australian Standard Geographical Classification – Remoteness Areas</w:t>
      </w:r>
      <w:r w:rsidRPr="00BD1D03">
        <w:rPr>
          <w:rFonts w:ascii="Calibri Light" w:eastAsia="Calibri" w:hAnsi="Calibri Light" w:cs="Arial"/>
          <w:b/>
        </w:rPr>
        <w:t xml:space="preserve"> </w:t>
      </w:r>
      <w:r w:rsidRPr="006912E5">
        <w:rPr>
          <w:rFonts w:eastAsia="Calibri"/>
        </w:rPr>
        <w:t xml:space="preserve">is the geographic classification system developed in 2001 by the Australian Bureau of Statistics to allow quantitative comparison between ‘city’ and ‘country’ Australia.  </w:t>
      </w:r>
    </w:p>
    <w:p w14:paraId="791D80C1" w14:textId="1A320F42" w:rsidR="00F15D28" w:rsidRPr="00F15D28" w:rsidRDefault="00D41E36" w:rsidP="00F15D28">
      <w:r>
        <w:rPr>
          <w:b/>
          <w:bCs/>
          <w:i/>
          <w:iCs/>
        </w:rPr>
        <w:t>Authorised c</w:t>
      </w:r>
      <w:r w:rsidR="00F15D28" w:rsidRPr="00F15D28">
        <w:rPr>
          <w:b/>
          <w:bCs/>
          <w:i/>
          <w:iCs/>
        </w:rPr>
        <w:t>ontact</w:t>
      </w:r>
      <w:r w:rsidR="00F15D28" w:rsidRPr="00F15D28">
        <w:rPr>
          <w:i/>
          <w:iCs/>
        </w:rPr>
        <w:t xml:space="preserve"> </w:t>
      </w:r>
      <w:r>
        <w:rPr>
          <w:b/>
          <w:bCs/>
          <w:i/>
          <w:iCs/>
        </w:rPr>
        <w:t>p</w:t>
      </w:r>
      <w:r w:rsidR="00F15D28" w:rsidRPr="00F15D28">
        <w:rPr>
          <w:b/>
          <w:bCs/>
          <w:i/>
          <w:iCs/>
        </w:rPr>
        <w:t>erson(s)</w:t>
      </w:r>
      <w:r w:rsidR="00F15D28" w:rsidRPr="00F15D28">
        <w:rPr>
          <w:i/>
          <w:iCs/>
        </w:rPr>
        <w:t xml:space="preserve"> </w:t>
      </w:r>
      <w:r>
        <w:rPr>
          <w:iCs/>
        </w:rPr>
        <w:t>is</w:t>
      </w:r>
      <w:r w:rsidR="00F15D28" w:rsidRPr="00F15D28">
        <w:t xml:space="preserve"> a person nominated by the practice owner(s) to act on behalf of the practice in relation to the program. The authorised contact person(s) will receive all communications in relation to the program, be responsible for advising the department of any changes in participation and updating practice information including bank account details. All forms completed and information submitted by the authorised contact person will be taken to be completed and authorised on behalf of the practice and the practice owner(s). </w:t>
      </w:r>
    </w:p>
    <w:p w14:paraId="106D038A" w14:textId="77777777" w:rsidR="00F15D28" w:rsidRPr="00F15D28" w:rsidRDefault="00F15D28" w:rsidP="00F15D28">
      <w:r w:rsidRPr="00F15D28">
        <w:t>Any changes to the authorised contact person, change in ownership, amalgamation, relocations and practice closures can only be advised by the owner(s) of the practice.</w:t>
      </w:r>
    </w:p>
    <w:p w14:paraId="0AEB6E27" w14:textId="3DA8DFE0" w:rsidR="00F15D28" w:rsidRPr="00F15D28" w:rsidRDefault="00F15D28" w:rsidP="00F15D28">
      <w:r w:rsidRPr="00F15D28">
        <w:rPr>
          <w:b/>
          <w:i/>
        </w:rPr>
        <w:t>Complete application</w:t>
      </w:r>
      <w:r w:rsidRPr="00F15D28">
        <w:rPr>
          <w:b/>
        </w:rPr>
        <w:t xml:space="preserve"> </w:t>
      </w:r>
      <w:r w:rsidR="00D41E36">
        <w:t>is</w:t>
      </w:r>
      <w:r w:rsidRPr="00F15D28">
        <w:t xml:space="preserve"> a PNIP application that contains all required information and all required supporting documentation to enable an assessment, and </w:t>
      </w:r>
      <w:r w:rsidR="00D41E36">
        <w:t xml:space="preserve">we recognise </w:t>
      </w:r>
      <w:r w:rsidRPr="00F15D28">
        <w:t xml:space="preserve">as complete. </w:t>
      </w:r>
    </w:p>
    <w:p w14:paraId="6FAC1944" w14:textId="3EB7D4C5" w:rsidR="006A3EDD" w:rsidRPr="006912E5" w:rsidRDefault="00F15D28" w:rsidP="006A3EDD">
      <w:pPr>
        <w:spacing w:after="160" w:line="259" w:lineRule="auto"/>
        <w:rPr>
          <w:rFonts w:eastAsia="Calibri"/>
        </w:rPr>
      </w:pPr>
      <w:r w:rsidRPr="00F15D28">
        <w:rPr>
          <w:b/>
          <w:i/>
        </w:rPr>
        <w:t>Delegate</w:t>
      </w:r>
      <w:r w:rsidRPr="00F15D28">
        <w:t xml:space="preserve"> </w:t>
      </w:r>
      <w:r w:rsidR="00D41E36" w:rsidRPr="006A3EDD">
        <w:t>is</w:t>
      </w:r>
      <w:r w:rsidRPr="006A3EDD">
        <w:t xml:space="preserve"> </w:t>
      </w:r>
      <w:r w:rsidR="006A3EDD" w:rsidRPr="006912E5">
        <w:rPr>
          <w:rFonts w:eastAsia="Calibri"/>
        </w:rPr>
        <w:t>a person authorised by us or the Department of Health</w:t>
      </w:r>
      <w:r w:rsidR="008F7FB2">
        <w:rPr>
          <w:rFonts w:eastAsia="Calibri"/>
        </w:rPr>
        <w:t xml:space="preserve"> (Health)</w:t>
      </w:r>
      <w:r w:rsidR="006A3EDD" w:rsidRPr="006912E5">
        <w:rPr>
          <w:rFonts w:eastAsia="Calibri"/>
        </w:rPr>
        <w:t xml:space="preserve"> to administer the program.</w:t>
      </w:r>
    </w:p>
    <w:p w14:paraId="56242708" w14:textId="7D383091" w:rsidR="00F15D28" w:rsidRPr="00F15D28" w:rsidRDefault="00F15D28" w:rsidP="00F15D28">
      <w:pPr>
        <w:rPr>
          <w:lang w:val="en-US"/>
        </w:rPr>
      </w:pPr>
      <w:r w:rsidRPr="00F15D28">
        <w:rPr>
          <w:b/>
          <w:i/>
          <w:lang w:val="en-US"/>
        </w:rPr>
        <w:t>Direct supervision</w:t>
      </w:r>
      <w:r w:rsidRPr="00F15D28">
        <w:rPr>
          <w:lang w:val="en-US"/>
        </w:rPr>
        <w:t xml:space="preserve"> </w:t>
      </w:r>
      <w:r w:rsidR="00D41E36">
        <w:rPr>
          <w:lang w:val="en-US"/>
        </w:rPr>
        <w:t>is when the registered n</w:t>
      </w:r>
      <w:r w:rsidRPr="00F15D28">
        <w:rPr>
          <w:lang w:val="en-US"/>
        </w:rPr>
        <w:t>urse is actually present, and personally observes, work</w:t>
      </w:r>
      <w:r w:rsidR="00D41E36">
        <w:rPr>
          <w:lang w:val="en-US"/>
        </w:rPr>
        <w:t>s with, guides and directs the enrolled n</w:t>
      </w:r>
      <w:r w:rsidRPr="00F15D28">
        <w:rPr>
          <w:lang w:val="en-US"/>
        </w:rPr>
        <w:t xml:space="preserve">urse. </w:t>
      </w:r>
    </w:p>
    <w:p w14:paraId="703C7770" w14:textId="12B617F8" w:rsidR="00F15D28" w:rsidRPr="00F15D28" w:rsidRDefault="00F15D28" w:rsidP="00F15D28">
      <w:pPr>
        <w:rPr>
          <w:b/>
        </w:rPr>
      </w:pPr>
      <w:r w:rsidRPr="00F15D28">
        <w:rPr>
          <w:b/>
          <w:i/>
        </w:rPr>
        <w:t>E</w:t>
      </w:r>
      <w:r w:rsidR="00D41E36">
        <w:rPr>
          <w:b/>
          <w:i/>
        </w:rPr>
        <w:t>ligible health p</w:t>
      </w:r>
      <w:r w:rsidRPr="00F15D28">
        <w:rPr>
          <w:b/>
          <w:i/>
        </w:rPr>
        <w:t>rofessional</w:t>
      </w:r>
      <w:r w:rsidRPr="00F15D28">
        <w:rPr>
          <w:b/>
        </w:rPr>
        <w:t xml:space="preserve"> </w:t>
      </w:r>
      <w:r w:rsidR="00D41E36">
        <w:t>is a registered nurse, enrolled nurse, allied health p</w:t>
      </w:r>
      <w:r w:rsidRPr="00F15D28">
        <w:t xml:space="preserve">rofessional, </w:t>
      </w:r>
      <w:r w:rsidRPr="00A93998">
        <w:t>Aboriginal and Torres Strait</w:t>
      </w:r>
      <w:r w:rsidR="00D41E36" w:rsidRPr="00A93998">
        <w:t xml:space="preserve"> Islander </w:t>
      </w:r>
      <w:r w:rsidR="00912A3F" w:rsidRPr="004A609F">
        <w:t>H</w:t>
      </w:r>
      <w:r w:rsidR="00D41E36" w:rsidRPr="00A93998">
        <w:t xml:space="preserve">ealth </w:t>
      </w:r>
      <w:r w:rsidR="00912A3F" w:rsidRPr="004A609F">
        <w:t>W</w:t>
      </w:r>
      <w:r w:rsidR="00D41E36" w:rsidRPr="00A93998">
        <w:t>orker</w:t>
      </w:r>
      <w:r w:rsidR="00D41E36">
        <w:t xml:space="preserve"> and p</w:t>
      </w:r>
      <w:r w:rsidRPr="00F15D28">
        <w:t xml:space="preserve">ractitioner employed or otherwise retained by the practice where their time is not </w:t>
      </w:r>
      <w:r w:rsidRPr="00F15D28">
        <w:rPr>
          <w:lang w:val="en-US"/>
        </w:rPr>
        <w:t xml:space="preserve">supported by other funding or direct billing of </w:t>
      </w:r>
      <w:r w:rsidR="008F7FB2" w:rsidRPr="00F15D28">
        <w:t>Medicare Benefits Sc</w:t>
      </w:r>
      <w:r w:rsidR="008F7FB2">
        <w:t>hedule</w:t>
      </w:r>
      <w:r w:rsidR="008F7FB2" w:rsidRPr="00F15D28">
        <w:t xml:space="preserve"> </w:t>
      </w:r>
      <w:r w:rsidR="008F7FB2">
        <w:t>(</w:t>
      </w:r>
      <w:r w:rsidRPr="00F15D28">
        <w:rPr>
          <w:lang w:val="en-US"/>
        </w:rPr>
        <w:t>MBS</w:t>
      </w:r>
      <w:r w:rsidR="008F7FB2">
        <w:rPr>
          <w:lang w:val="en-US"/>
        </w:rPr>
        <w:t>)</w:t>
      </w:r>
      <w:r w:rsidRPr="00F15D28">
        <w:rPr>
          <w:lang w:val="en-US"/>
        </w:rPr>
        <w:t xml:space="preserve"> items.</w:t>
      </w:r>
    </w:p>
    <w:p w14:paraId="5ABEEE76" w14:textId="5FB9FA14" w:rsidR="00F15D28" w:rsidRPr="006912E5" w:rsidRDefault="00D41E36" w:rsidP="006A3EDD">
      <w:pPr>
        <w:rPr>
          <w:rFonts w:ascii="Calibri Light" w:hAnsi="Calibri Light"/>
          <w:lang w:val="en-US"/>
        </w:rPr>
      </w:pPr>
      <w:r>
        <w:rPr>
          <w:b/>
          <w:i/>
        </w:rPr>
        <w:t>Enrolled n</w:t>
      </w:r>
      <w:r w:rsidR="00F15D28" w:rsidRPr="00F15D28">
        <w:rPr>
          <w:b/>
          <w:i/>
        </w:rPr>
        <w:t>urse</w:t>
      </w:r>
      <w:r w:rsidR="00F15D28" w:rsidRPr="00F15D28">
        <w:rPr>
          <w:b/>
        </w:rPr>
        <w:t xml:space="preserve"> </w:t>
      </w:r>
      <w:r>
        <w:t>is</w:t>
      </w:r>
      <w:r w:rsidR="00F15D28" w:rsidRPr="00F15D28">
        <w:t xml:space="preserve"> a person who is registered with the </w:t>
      </w:r>
      <w:r w:rsidR="006A3EDD" w:rsidRPr="006912E5">
        <w:rPr>
          <w:rFonts w:eastAsia="Calibri"/>
        </w:rPr>
        <w:t>Nursing and Midwifery Board of Australia</w:t>
      </w:r>
      <w:r w:rsidR="006A3EDD" w:rsidRPr="00CD28F3">
        <w:rPr>
          <w:rFonts w:ascii="Calibri Light" w:eastAsia="Calibri" w:hAnsi="Calibri Light"/>
        </w:rPr>
        <w:t xml:space="preserve"> (</w:t>
      </w:r>
      <w:r w:rsidR="00F15D28" w:rsidRPr="00F15D28">
        <w:t>NMBA</w:t>
      </w:r>
      <w:r w:rsidR="006A3EDD">
        <w:t>)</w:t>
      </w:r>
      <w:r w:rsidR="00F15D28" w:rsidRPr="00F15D28">
        <w:t xml:space="preserve"> and meets</w:t>
      </w:r>
      <w:r>
        <w:t xml:space="preserve"> the b</w:t>
      </w:r>
      <w:r w:rsidR="00F15D28" w:rsidRPr="00F15D28">
        <w:t>oard’s registration standards in order to practic</w:t>
      </w:r>
      <w:r>
        <w:t>e in Australia. An enrolled n</w:t>
      </w:r>
      <w:r w:rsidR="00F15D28" w:rsidRPr="00F15D28">
        <w:t xml:space="preserve">urse </w:t>
      </w:r>
      <w:r>
        <w:t>works with the registered n</w:t>
      </w:r>
      <w:r w:rsidR="00F15D28" w:rsidRPr="00F15D28">
        <w:t>urse as part of the health care team and demonstrates competence in the provision of person-centred c</w:t>
      </w:r>
      <w:r>
        <w:t>are. Core practice requires an enrolled n</w:t>
      </w:r>
      <w:r w:rsidR="00F15D28" w:rsidRPr="00F15D28">
        <w:t xml:space="preserve">urse to work under the direct </w:t>
      </w:r>
      <w:r>
        <w:t>or indirect supervision of the registered n</w:t>
      </w:r>
      <w:r w:rsidR="00F15D28" w:rsidRPr="00F15D28">
        <w:t xml:space="preserve">urse. </w:t>
      </w:r>
      <w:r w:rsidR="006A3EDD" w:rsidRPr="00924A76">
        <w:rPr>
          <w:lang w:val="en-US"/>
        </w:rPr>
        <w:t xml:space="preserve">For more information read the </w:t>
      </w:r>
      <w:hyperlink r:id="rId19" w:history="1">
        <w:r w:rsidR="006A3EDD" w:rsidRPr="00924A76">
          <w:rPr>
            <w:color w:val="0000FF"/>
            <w:u w:val="thick" w:color="0000FF"/>
            <w:lang w:val="en-US"/>
          </w:rPr>
          <w:t>enrolled nurse standards and factsheet</w:t>
        </w:r>
      </w:hyperlink>
      <w:r w:rsidR="006A3EDD" w:rsidRPr="00924A76">
        <w:rPr>
          <w:lang w:val="en-US"/>
        </w:rPr>
        <w:t xml:space="preserve"> on the </w:t>
      </w:r>
      <w:r w:rsidR="006A3EDD" w:rsidRPr="00924A76">
        <w:rPr>
          <w:u w:color="0000FF"/>
          <w:lang w:val="en-US"/>
        </w:rPr>
        <w:t>NMBA website</w:t>
      </w:r>
      <w:r w:rsidR="006A3EDD" w:rsidRPr="00924A76">
        <w:rPr>
          <w:lang w:val="en-US"/>
        </w:rPr>
        <w:t xml:space="preserve">.  </w:t>
      </w:r>
    </w:p>
    <w:p w14:paraId="69CEF88F" w14:textId="1F0F3016" w:rsidR="00F15D28" w:rsidRPr="00F15D28" w:rsidRDefault="00D41E36" w:rsidP="00F15D28">
      <w:r>
        <w:rPr>
          <w:b/>
          <w:i/>
        </w:rPr>
        <w:t>General p</w:t>
      </w:r>
      <w:r w:rsidR="00F15D28" w:rsidRPr="00F15D28">
        <w:rPr>
          <w:b/>
          <w:i/>
        </w:rPr>
        <w:t xml:space="preserve">ractice </w:t>
      </w:r>
      <w:r w:rsidRPr="006912E5">
        <w:t>is defined by</w:t>
      </w:r>
      <w:r w:rsidR="00F15D28" w:rsidRPr="00F15D28">
        <w:rPr>
          <w:b/>
          <w:i/>
        </w:rPr>
        <w:t xml:space="preserve"> </w:t>
      </w:r>
      <w:r w:rsidR="00F15D28" w:rsidRPr="00F15D28">
        <w:t xml:space="preserve">the </w:t>
      </w:r>
      <w:r w:rsidR="008F7FB2" w:rsidRPr="00F15D28">
        <w:t xml:space="preserve">RACGP </w:t>
      </w:r>
      <w:r w:rsidR="00F15D28" w:rsidRPr="00F15D28">
        <w:rPr>
          <w:i/>
        </w:rPr>
        <w:t xml:space="preserve">Standards for general practices </w:t>
      </w:r>
      <w:r w:rsidR="00F15D28" w:rsidRPr="00F15D28">
        <w:t>as the provision of patient-centred continuing, comprehensive, coordinated primary care to individuals, families and communities. For the purposes of PNIP, a general practice incl</w:t>
      </w:r>
      <w:r w:rsidR="006A3EDD">
        <w:t>udes Aboriginal Medical Services</w:t>
      </w:r>
      <w:r w:rsidR="00F15D28" w:rsidRPr="00F15D28">
        <w:t xml:space="preserve"> and Aboriginal Comm</w:t>
      </w:r>
      <w:r w:rsidR="006A3EDD">
        <w:t>unity Controlled Health Services</w:t>
      </w:r>
      <w:r w:rsidR="00F15D28" w:rsidRPr="00F15D28">
        <w:t xml:space="preserve">. </w:t>
      </w:r>
    </w:p>
    <w:p w14:paraId="7AE33EF3" w14:textId="0249A459" w:rsidR="00F15D28" w:rsidRPr="00F15D28" w:rsidRDefault="00F15D28" w:rsidP="00F15D28">
      <w:r w:rsidRPr="00F15D28">
        <w:rPr>
          <w:b/>
          <w:i/>
        </w:rPr>
        <w:t>General practitioner</w:t>
      </w:r>
      <w:r w:rsidR="00D41E36">
        <w:rPr>
          <w:b/>
          <w:i/>
        </w:rPr>
        <w:t xml:space="preserve"> </w:t>
      </w:r>
      <w:r w:rsidR="00D41E36" w:rsidRPr="006912E5">
        <w:t>is</w:t>
      </w:r>
      <w:r w:rsidRPr="00D41E36">
        <w:t xml:space="preserve"> </w:t>
      </w:r>
      <w:r w:rsidRPr="00F15D28">
        <w:t>a general practitioner and/or non-specialist medical practitioner, know</w:t>
      </w:r>
      <w:r w:rsidR="00D41E36">
        <w:t>n as other medical practitioner</w:t>
      </w:r>
      <w:r w:rsidRPr="00F15D28">
        <w:t xml:space="preserve">, who provide non-referred services but are not GPs. GPs include Fellows of the Royal Australian College of General Practitioners and the Australian College of Rural and Remote Medicine, vocationally registered general practitioners and medical practitioners undertaking approved training. </w:t>
      </w:r>
    </w:p>
    <w:p w14:paraId="5468175C" w14:textId="5D6E35C6" w:rsidR="00F15D28" w:rsidRPr="00F15D28" w:rsidRDefault="00F15D28" w:rsidP="00F15D28">
      <w:r w:rsidRPr="00F15D28">
        <w:rPr>
          <w:b/>
          <w:i/>
        </w:rPr>
        <w:t>Guidelines</w:t>
      </w:r>
      <w:r w:rsidRPr="00F15D28">
        <w:rPr>
          <w:b/>
        </w:rPr>
        <w:t xml:space="preserve"> </w:t>
      </w:r>
      <w:r w:rsidR="00D41E36" w:rsidRPr="006912E5">
        <w:t>is</w:t>
      </w:r>
      <w:r w:rsidRPr="00F15D28">
        <w:rPr>
          <w:i/>
        </w:rPr>
        <w:t xml:space="preserve"> </w:t>
      </w:r>
      <w:r w:rsidRPr="00F15D28">
        <w:t>th</w:t>
      </w:r>
      <w:r w:rsidR="00D41E36">
        <w:t>e g</w:t>
      </w:r>
      <w:r w:rsidRPr="00F15D28">
        <w:t xml:space="preserve">uidelines for the PNIP. </w:t>
      </w:r>
    </w:p>
    <w:p w14:paraId="2FF01EE9" w14:textId="05993559" w:rsidR="00F15D28" w:rsidRPr="00F15D28" w:rsidRDefault="00F15D28" w:rsidP="00F15D28">
      <w:r w:rsidRPr="00F15D28">
        <w:rPr>
          <w:b/>
          <w:i/>
        </w:rPr>
        <w:t xml:space="preserve">Hours worked </w:t>
      </w:r>
      <w:r w:rsidR="00D41E36">
        <w:t xml:space="preserve">is </w:t>
      </w:r>
      <w:r w:rsidRPr="00F15D28">
        <w:t xml:space="preserve">the actual hours worked for an eligible health professional. </w:t>
      </w:r>
    </w:p>
    <w:p w14:paraId="5ADB0FC6" w14:textId="0EC00E2F" w:rsidR="00F15D28" w:rsidRPr="00F15D28" w:rsidRDefault="00F15D28" w:rsidP="00F15D28">
      <w:r w:rsidRPr="00F15D28">
        <w:rPr>
          <w:b/>
          <w:i/>
        </w:rPr>
        <w:t>HPOS</w:t>
      </w:r>
      <w:r w:rsidRPr="00F15D28">
        <w:rPr>
          <w:b/>
        </w:rPr>
        <w:t xml:space="preserve"> </w:t>
      </w:r>
      <w:r w:rsidR="00034F2A" w:rsidRPr="006912E5">
        <w:t>is</w:t>
      </w:r>
      <w:r w:rsidRPr="00034F2A">
        <w:t xml:space="preserve"> </w:t>
      </w:r>
      <w:r w:rsidR="00034F2A">
        <w:t xml:space="preserve">the </w:t>
      </w:r>
      <w:hyperlink r:id="rId20" w:history="1">
        <w:r w:rsidR="00034F2A" w:rsidRPr="00034F2A">
          <w:rPr>
            <w:rStyle w:val="Hyperlink"/>
          </w:rPr>
          <w:t>Health Professional</w:t>
        </w:r>
        <w:r w:rsidRPr="00034F2A">
          <w:rPr>
            <w:rStyle w:val="Hyperlink"/>
          </w:rPr>
          <w:t xml:space="preserve"> Online Services</w:t>
        </w:r>
      </w:hyperlink>
      <w:r w:rsidRPr="00F15D28">
        <w:t xml:space="preserve">. This is an online system where practices can lodge application details and correspond with </w:t>
      </w:r>
      <w:r w:rsidR="00034F2A">
        <w:t>us</w:t>
      </w:r>
      <w:r w:rsidRPr="00F15D28">
        <w:t xml:space="preserve"> online. Changes made to practice details are visible to the practice and are effective immediately. </w:t>
      </w:r>
    </w:p>
    <w:p w14:paraId="0CE4D2CA" w14:textId="4E9715D5" w:rsidR="00F15D28" w:rsidRPr="009C27CF" w:rsidRDefault="00F15D28" w:rsidP="009C27CF">
      <w:pPr>
        <w:tabs>
          <w:tab w:val="left" w:pos="140"/>
        </w:tabs>
        <w:spacing w:line="290" w:lineRule="atLeast"/>
      </w:pPr>
      <w:r w:rsidRPr="00F15D28">
        <w:rPr>
          <w:b/>
          <w:i/>
          <w:lang w:val="en-US"/>
        </w:rPr>
        <w:t xml:space="preserve">Indirect supervision </w:t>
      </w:r>
      <w:r w:rsidR="00034F2A">
        <w:rPr>
          <w:lang w:val="en-US"/>
        </w:rPr>
        <w:t>is</w:t>
      </w:r>
      <w:r w:rsidRPr="00F15D28">
        <w:rPr>
          <w:lang w:val="en-US"/>
        </w:rPr>
        <w:t xml:space="preserve"> when the </w:t>
      </w:r>
      <w:r w:rsidR="00034F2A">
        <w:rPr>
          <w:lang w:val="en-US"/>
        </w:rPr>
        <w:t>registered n</w:t>
      </w:r>
      <w:r w:rsidRPr="00F15D28">
        <w:rPr>
          <w:lang w:val="en-US"/>
        </w:rPr>
        <w:t xml:space="preserve">urse does not constantly observe the activities of an </w:t>
      </w:r>
      <w:r w:rsidR="00034F2A">
        <w:rPr>
          <w:lang w:val="en-US"/>
        </w:rPr>
        <w:t>e</w:t>
      </w:r>
      <w:r w:rsidRPr="00F15D28">
        <w:rPr>
          <w:lang w:val="en-US"/>
        </w:rPr>
        <w:t xml:space="preserve">nrolled </w:t>
      </w:r>
      <w:r w:rsidR="00034F2A">
        <w:rPr>
          <w:lang w:val="en-US"/>
        </w:rPr>
        <w:t>n</w:t>
      </w:r>
      <w:r w:rsidRPr="00F15D28">
        <w:rPr>
          <w:lang w:val="en-US"/>
        </w:rPr>
        <w:t xml:space="preserve">urse. In situations where the </w:t>
      </w:r>
      <w:r w:rsidR="00034F2A">
        <w:rPr>
          <w:lang w:val="en-US"/>
        </w:rPr>
        <w:t>r</w:t>
      </w:r>
      <w:r w:rsidRPr="00F15D28">
        <w:rPr>
          <w:lang w:val="en-US"/>
        </w:rPr>
        <w:t xml:space="preserve">egistered </w:t>
      </w:r>
      <w:r w:rsidR="00034F2A">
        <w:rPr>
          <w:lang w:val="en-US"/>
        </w:rPr>
        <w:t>nurse and the enrolled n</w:t>
      </w:r>
      <w:r w:rsidRPr="00F15D28">
        <w:rPr>
          <w:lang w:val="en-US"/>
        </w:rPr>
        <w:t>urse are not employed at the same organisation, clearly documented arrangements must be in place regarding su</w:t>
      </w:r>
      <w:r w:rsidR="00034F2A">
        <w:rPr>
          <w:lang w:val="en-US"/>
        </w:rPr>
        <w:t>pervision arrangements and the registered n</w:t>
      </w:r>
      <w:r w:rsidRPr="00F15D28">
        <w:rPr>
          <w:lang w:val="en-US"/>
        </w:rPr>
        <w:t xml:space="preserve">urse must be available for reasonable access. </w:t>
      </w:r>
      <w:r w:rsidR="00216257" w:rsidRPr="006912E5">
        <w:t xml:space="preserve">For more information read the </w:t>
      </w:r>
      <w:hyperlink r:id="rId21" w:history="1">
        <w:r w:rsidR="00216257" w:rsidRPr="006912E5">
          <w:rPr>
            <w:rStyle w:val="Hyperlink"/>
          </w:rPr>
          <w:t>enrolled nurse standards and factsheet</w:t>
        </w:r>
      </w:hyperlink>
      <w:r w:rsidR="00216257" w:rsidRPr="006912E5">
        <w:t xml:space="preserve"> on the NMBA website.</w:t>
      </w:r>
    </w:p>
    <w:p w14:paraId="5D07BFB5" w14:textId="14EDB3D2" w:rsidR="00F15D28" w:rsidRPr="00F15D28" w:rsidRDefault="00F15D28" w:rsidP="009C27CF">
      <w:pPr>
        <w:ind w:left="714" w:firstLine="0"/>
      </w:pPr>
      <w:r w:rsidRPr="00F15D28">
        <w:rPr>
          <w:b/>
          <w:i/>
        </w:rPr>
        <w:t>Local Area</w:t>
      </w:r>
      <w:r w:rsidRPr="00F15D28">
        <w:t xml:space="preserve"> is defined by Health on a case-by-case basis according to factors such as physical distance, rurality and practice distribution.</w:t>
      </w:r>
    </w:p>
    <w:p w14:paraId="2E718577" w14:textId="1FC4A98D" w:rsidR="00F15D28" w:rsidRPr="00F15D28" w:rsidRDefault="00F15D28" w:rsidP="00F15D28">
      <w:pPr>
        <w:rPr>
          <w:i/>
        </w:rPr>
      </w:pPr>
      <w:r w:rsidRPr="00F15D28">
        <w:t>The</w:t>
      </w:r>
      <w:r w:rsidRPr="00F15D28">
        <w:rPr>
          <w:b/>
          <w:i/>
        </w:rPr>
        <w:t xml:space="preserve"> Medicare Benefits Schedule (MBS)</w:t>
      </w:r>
      <w:r w:rsidRPr="00F15D28">
        <w:t xml:space="preserve"> is a listing of the Medicare services subsidised by the Australian Government. The schedule is part of a wider Medicare Benefits Scheme managed by Health and administered by </w:t>
      </w:r>
      <w:r w:rsidR="00034F2A">
        <w:t>us</w:t>
      </w:r>
      <w:r w:rsidRPr="00F15D28">
        <w:rPr>
          <w:i/>
        </w:rPr>
        <w:t>.</w:t>
      </w:r>
    </w:p>
    <w:p w14:paraId="03D7EBD8" w14:textId="6C6170B2" w:rsidR="00F15D28" w:rsidRPr="00F15D28" w:rsidRDefault="00034F2A" w:rsidP="00F15D28">
      <w:pPr>
        <w:rPr>
          <w:i/>
        </w:rPr>
      </w:pPr>
      <w:r>
        <w:rPr>
          <w:b/>
          <w:i/>
        </w:rPr>
        <w:t>Medical deputising s</w:t>
      </w:r>
      <w:r w:rsidR="00F15D28" w:rsidRPr="00F15D28">
        <w:rPr>
          <w:b/>
          <w:i/>
        </w:rPr>
        <w:t xml:space="preserve">ervices </w:t>
      </w:r>
      <w:r>
        <w:t xml:space="preserve">is </w:t>
      </w:r>
      <w:r w:rsidR="00F15D28" w:rsidRPr="00F15D28">
        <w:t xml:space="preserve">the RACGP </w:t>
      </w:r>
      <w:r w:rsidR="00F15D28" w:rsidRPr="00F15D28">
        <w:rPr>
          <w:i/>
        </w:rPr>
        <w:t xml:space="preserve">Standards for general practice </w:t>
      </w:r>
      <w:r w:rsidR="00F15D28" w:rsidRPr="00F15D28">
        <w:t>definition as organisations which directly arrange for medical practitioners to provide after hours m</w:t>
      </w:r>
      <w:r w:rsidR="00216257">
        <w:t>edical services to patients of practice p</w:t>
      </w:r>
      <w:r w:rsidR="00F15D28" w:rsidRPr="00F15D28">
        <w:t>rincipals during the absence of, and at the request o</w:t>
      </w:r>
      <w:r w:rsidR="00216257">
        <w:t>f, the practice p</w:t>
      </w:r>
      <w:r w:rsidR="00F15D28" w:rsidRPr="00F15D28">
        <w:t xml:space="preserve">rincipals. </w:t>
      </w:r>
      <w:r>
        <w:t>Medical deputising s</w:t>
      </w:r>
      <w:r w:rsidR="00F15D28" w:rsidRPr="00F15D28">
        <w:t xml:space="preserve">ervices are </w:t>
      </w:r>
      <w:r w:rsidR="00F15D28" w:rsidRPr="00F15D28">
        <w:rPr>
          <w:b/>
          <w:bCs/>
        </w:rPr>
        <w:t>not</w:t>
      </w:r>
      <w:r w:rsidR="00F15D28" w:rsidRPr="00F15D28">
        <w:t xml:space="preserve"> eligible for PNIP.  </w:t>
      </w:r>
    </w:p>
    <w:p w14:paraId="6EFCCFFC" w14:textId="4EC5A75F" w:rsidR="00F15D28" w:rsidRPr="00F15D28" w:rsidRDefault="00F15D28" w:rsidP="00F15D28">
      <w:r w:rsidRPr="00F15D28">
        <w:rPr>
          <w:b/>
          <w:i/>
        </w:rPr>
        <w:t>Medicare provider number</w:t>
      </w:r>
      <w:r w:rsidRPr="00F15D28">
        <w:t xml:space="preserve"> </w:t>
      </w:r>
      <w:r w:rsidR="00034F2A">
        <w:t xml:space="preserve">is </w:t>
      </w:r>
      <w:r w:rsidRPr="00F15D28">
        <w:t xml:space="preserve">a number allocated to a general practitioner to provide an easy method of identifying the place from which a medical service is provided. </w:t>
      </w:r>
    </w:p>
    <w:p w14:paraId="4025D230" w14:textId="1AED12A3" w:rsidR="00F15D28" w:rsidRPr="00F15D28" w:rsidRDefault="00F15D28" w:rsidP="00F15D28">
      <w:r w:rsidRPr="00F15D28">
        <w:rPr>
          <w:b/>
          <w:i/>
        </w:rPr>
        <w:t xml:space="preserve">Normal business hours </w:t>
      </w:r>
      <w:r w:rsidR="00034F2A" w:rsidRPr="006912E5">
        <w:t>is</w:t>
      </w:r>
      <w:r w:rsidRPr="00034F2A">
        <w:t xml:space="preserve"> </w:t>
      </w:r>
      <w:r w:rsidRPr="00F15D28">
        <w:t xml:space="preserve">the advertised opening business hours of the general practice. </w:t>
      </w:r>
    </w:p>
    <w:p w14:paraId="647DC24A" w14:textId="4154F1C9" w:rsidR="00F15D28" w:rsidRPr="00F15D28" w:rsidRDefault="00034F2A" w:rsidP="00F15D28">
      <w:r>
        <w:rPr>
          <w:b/>
          <w:i/>
        </w:rPr>
        <w:t>Nurse p</w:t>
      </w:r>
      <w:r w:rsidR="00F15D28" w:rsidRPr="00F15D28">
        <w:rPr>
          <w:b/>
          <w:i/>
        </w:rPr>
        <w:t xml:space="preserve">ractitioner </w:t>
      </w:r>
      <w:r>
        <w:t>is</w:t>
      </w:r>
      <w:r w:rsidR="00F15D28" w:rsidRPr="00F15D28">
        <w:t xml:space="preserve"> someone who is endorsed as a nurse practitioner by the </w:t>
      </w:r>
      <w:r w:rsidR="008F7FB2">
        <w:t>NMBA</w:t>
      </w:r>
      <w:r w:rsidR="00F15D28" w:rsidRPr="00F15D28">
        <w:t xml:space="preserve">. </w:t>
      </w:r>
      <w:r>
        <w:t xml:space="preserve">Go to their </w:t>
      </w:r>
      <w:hyperlink r:id="rId22" w:history="1">
        <w:r w:rsidRPr="00034F2A">
          <w:rPr>
            <w:rStyle w:val="Hyperlink"/>
          </w:rPr>
          <w:t>website</w:t>
        </w:r>
      </w:hyperlink>
      <w:r>
        <w:t xml:space="preserve"> for r</w:t>
      </w:r>
      <w:r w:rsidR="00F15D28" w:rsidRPr="00F15D28">
        <w:t>egistration requirements for nurs</w:t>
      </w:r>
      <w:r>
        <w:t>e practitioners.</w:t>
      </w:r>
    </w:p>
    <w:p w14:paraId="7EC53D9D" w14:textId="77347AF4" w:rsidR="00F15D28" w:rsidRPr="00F15D28" w:rsidRDefault="00F15D28" w:rsidP="00F15D28">
      <w:r w:rsidRPr="00F15D28">
        <w:rPr>
          <w:b/>
          <w:i/>
        </w:rPr>
        <w:t>PIP</w:t>
      </w:r>
      <w:r w:rsidRPr="00F15D28">
        <w:t xml:space="preserve"> </w:t>
      </w:r>
      <w:r w:rsidR="00034F2A" w:rsidRPr="006912E5">
        <w:t>is</w:t>
      </w:r>
      <w:r w:rsidRPr="00F15D28">
        <w:t xml:space="preserve"> the Practice Incentives Program administered by </w:t>
      </w:r>
      <w:r w:rsidR="00216257">
        <w:t>us</w:t>
      </w:r>
      <w:r w:rsidRPr="00F15D28">
        <w:t xml:space="preserve">. </w:t>
      </w:r>
    </w:p>
    <w:p w14:paraId="0F16D138" w14:textId="408BB46D" w:rsidR="00F15D28" w:rsidRPr="00F15D28" w:rsidRDefault="00F15D28" w:rsidP="00F15D28">
      <w:r w:rsidRPr="00F15D28">
        <w:rPr>
          <w:b/>
          <w:i/>
        </w:rPr>
        <w:t xml:space="preserve">PIP consenting practice </w:t>
      </w:r>
      <w:r w:rsidR="00034F2A">
        <w:t>is</w:t>
      </w:r>
      <w:r w:rsidRPr="00F15D28">
        <w:t xml:space="preserve"> a practice participating in the PIP which </w:t>
      </w:r>
      <w:r w:rsidR="00216257">
        <w:t>has consented</w:t>
      </w:r>
      <w:r w:rsidRPr="00F15D28">
        <w:t xml:space="preserve"> to </w:t>
      </w:r>
      <w:r w:rsidR="00034F2A">
        <w:t xml:space="preserve">us </w:t>
      </w:r>
      <w:r w:rsidRPr="00F15D28">
        <w:t xml:space="preserve">using practice details provided for the PIP for the purposes of the PNIP. </w:t>
      </w:r>
    </w:p>
    <w:p w14:paraId="335FBEFF" w14:textId="6219FBA7" w:rsidR="00F15D28" w:rsidRPr="00F15D28" w:rsidRDefault="00F15D28" w:rsidP="00F15D28">
      <w:r w:rsidRPr="00F15D28">
        <w:rPr>
          <w:b/>
          <w:i/>
        </w:rPr>
        <w:t>Point</w:t>
      </w:r>
      <w:r w:rsidR="008F7FB2">
        <w:rPr>
          <w:b/>
          <w:i/>
        </w:rPr>
        <w:t>-</w:t>
      </w:r>
      <w:r w:rsidRPr="00F15D28">
        <w:rPr>
          <w:b/>
          <w:i/>
        </w:rPr>
        <w:t>in</w:t>
      </w:r>
      <w:r w:rsidR="008F7FB2">
        <w:rPr>
          <w:b/>
          <w:i/>
        </w:rPr>
        <w:t>-</w:t>
      </w:r>
      <w:r w:rsidRPr="00F15D28">
        <w:rPr>
          <w:b/>
          <w:i/>
        </w:rPr>
        <w:t xml:space="preserve">time </w:t>
      </w:r>
      <w:r w:rsidR="00034F2A" w:rsidRPr="006912E5">
        <w:t>is</w:t>
      </w:r>
      <w:r w:rsidRPr="006912E5">
        <w:t xml:space="preserve"> </w:t>
      </w:r>
      <w:r w:rsidRPr="00034F2A">
        <w:t>the</w:t>
      </w:r>
      <w:r w:rsidRPr="00F15D28">
        <w:t xml:space="preserve"> last day of the month before the next PNIP payment quarter.</w:t>
      </w:r>
    </w:p>
    <w:p w14:paraId="5C184898" w14:textId="3B5BA049" w:rsidR="00216257" w:rsidRPr="006912E5" w:rsidRDefault="00F15D28" w:rsidP="00216257">
      <w:pPr>
        <w:spacing w:after="160" w:line="259" w:lineRule="auto"/>
        <w:rPr>
          <w:rFonts w:eastAsia="Calibri"/>
        </w:rPr>
      </w:pPr>
      <w:r w:rsidRPr="00F15D28">
        <w:rPr>
          <w:b/>
          <w:i/>
        </w:rPr>
        <w:t xml:space="preserve">Practice </w:t>
      </w:r>
      <w:r w:rsidR="00216257" w:rsidRPr="006912E5">
        <w:rPr>
          <w:rFonts w:eastAsia="Calibri"/>
        </w:rPr>
        <w:t>is an approved medical practice participating in the PNIP, which may include patient records and access to a physical location.</w:t>
      </w:r>
    </w:p>
    <w:p w14:paraId="4B93EC50" w14:textId="4DF8C7DD" w:rsidR="00F15D28" w:rsidRPr="00F15D28" w:rsidRDefault="00034F2A" w:rsidP="00F15D28">
      <w:r>
        <w:rPr>
          <w:b/>
          <w:i/>
        </w:rPr>
        <w:t>Practice b</w:t>
      </w:r>
      <w:r w:rsidR="00F15D28" w:rsidRPr="00F15D28">
        <w:rPr>
          <w:b/>
          <w:i/>
        </w:rPr>
        <w:t xml:space="preserve">ranch </w:t>
      </w:r>
      <w:r w:rsidRPr="006912E5">
        <w:t>is</w:t>
      </w:r>
      <w:r w:rsidR="00F15D28" w:rsidRPr="00F15D28">
        <w:t xml:space="preserve"> an additional practice location.</w:t>
      </w:r>
    </w:p>
    <w:p w14:paraId="459E1F77" w14:textId="3FE8F711" w:rsidR="00F15D28" w:rsidRPr="00F15D28" w:rsidRDefault="00F15D28" w:rsidP="00F15D28">
      <w:r w:rsidRPr="00F15D28">
        <w:rPr>
          <w:b/>
          <w:i/>
        </w:rPr>
        <w:t xml:space="preserve">Practice </w:t>
      </w:r>
      <w:r w:rsidR="00034F2A">
        <w:rPr>
          <w:b/>
          <w:i/>
        </w:rPr>
        <w:t>l</w:t>
      </w:r>
      <w:r w:rsidRPr="00F15D28">
        <w:rPr>
          <w:b/>
          <w:i/>
        </w:rPr>
        <w:t>ocation</w:t>
      </w:r>
      <w:r w:rsidRPr="00F15D28">
        <w:t xml:space="preserve"> </w:t>
      </w:r>
      <w:r w:rsidR="00034F2A" w:rsidRPr="006912E5">
        <w:t>is</w:t>
      </w:r>
      <w:r w:rsidRPr="00034F2A">
        <w:t xml:space="preserve"> </w:t>
      </w:r>
      <w:r w:rsidRPr="00F15D28">
        <w:t xml:space="preserve">any location </w:t>
      </w:r>
      <w:r w:rsidR="00E448A9">
        <w:t>where</w:t>
      </w:r>
      <w:r w:rsidRPr="00F15D28">
        <w:t xml:space="preserve"> a </w:t>
      </w:r>
      <w:r w:rsidR="00E448A9">
        <w:t>general practitioner and/or eligible health p</w:t>
      </w:r>
      <w:r w:rsidRPr="00F15D28">
        <w:t xml:space="preserve">rofessional has been providing medical services and billing Medicare. </w:t>
      </w:r>
    </w:p>
    <w:p w14:paraId="0BE1DB13" w14:textId="4A09D185" w:rsidR="00F15D28" w:rsidRPr="00F15D28" w:rsidRDefault="00034F2A" w:rsidP="00F15D28">
      <w:pPr>
        <w:rPr>
          <w:b/>
        </w:rPr>
      </w:pPr>
      <w:r>
        <w:rPr>
          <w:b/>
          <w:i/>
        </w:rPr>
        <w:t>Practice n</w:t>
      </w:r>
      <w:r w:rsidR="00F15D28" w:rsidRPr="00F15D28">
        <w:rPr>
          <w:b/>
          <w:i/>
        </w:rPr>
        <w:t>urse</w:t>
      </w:r>
      <w:r w:rsidR="00F15D28" w:rsidRPr="00F15D28">
        <w:rPr>
          <w:b/>
        </w:rPr>
        <w:t xml:space="preserve"> </w:t>
      </w:r>
      <w:r w:rsidR="00E448A9" w:rsidRPr="006912E5">
        <w:t>is</w:t>
      </w:r>
      <w:r w:rsidR="00F15D28" w:rsidRPr="00E448A9">
        <w:t xml:space="preserve"> </w:t>
      </w:r>
      <w:r w:rsidR="00E448A9">
        <w:t>a registered nurse, or an enrolled n</w:t>
      </w:r>
      <w:r w:rsidR="00F15D28" w:rsidRPr="00F15D28">
        <w:t>urse who is employed by a general practice.</w:t>
      </w:r>
    </w:p>
    <w:p w14:paraId="371163F6" w14:textId="4EAC0242" w:rsidR="00F15D28" w:rsidRPr="00F15D28" w:rsidRDefault="00F15D28" w:rsidP="00F15D28">
      <w:r w:rsidRPr="00F15D28">
        <w:rPr>
          <w:b/>
          <w:i/>
        </w:rPr>
        <w:t>Practice requirements</w:t>
      </w:r>
      <w:r w:rsidRPr="00F15D28">
        <w:t xml:space="preserve"> </w:t>
      </w:r>
      <w:r w:rsidR="00E448A9">
        <w:t>are</w:t>
      </w:r>
      <w:r w:rsidRPr="00F15D28">
        <w:t xml:space="preserve"> the requirement for a </w:t>
      </w:r>
      <w:r w:rsidR="00E448A9">
        <w:t>g</w:t>
      </w:r>
      <w:r w:rsidRPr="00F15D28">
        <w:t xml:space="preserve">eneral </w:t>
      </w:r>
      <w:r w:rsidR="00E448A9">
        <w:t>p</w:t>
      </w:r>
      <w:r w:rsidRPr="00F15D28">
        <w:t>ractitioner to provide medical services as specified in the eligibility criteria for the program.</w:t>
      </w:r>
    </w:p>
    <w:p w14:paraId="3F471053" w14:textId="712D51F7" w:rsidR="00216257" w:rsidRPr="006912E5" w:rsidRDefault="00F15D28" w:rsidP="00216257">
      <w:pPr>
        <w:spacing w:after="160" w:line="259" w:lineRule="auto"/>
        <w:rPr>
          <w:rFonts w:eastAsia="Calibri"/>
        </w:rPr>
      </w:pPr>
      <w:r w:rsidRPr="00F15D28">
        <w:rPr>
          <w:b/>
          <w:i/>
        </w:rPr>
        <w:t xml:space="preserve">Quarterly </w:t>
      </w:r>
      <w:r w:rsidR="00E448A9">
        <w:rPr>
          <w:b/>
          <w:i/>
        </w:rPr>
        <w:t>c</w:t>
      </w:r>
      <w:r w:rsidRPr="00F15D28">
        <w:rPr>
          <w:b/>
          <w:i/>
        </w:rPr>
        <w:t xml:space="preserve">onfirmation </w:t>
      </w:r>
      <w:r w:rsidR="00E448A9">
        <w:rPr>
          <w:b/>
          <w:i/>
        </w:rPr>
        <w:t>s</w:t>
      </w:r>
      <w:r w:rsidRPr="00F15D28">
        <w:rPr>
          <w:b/>
          <w:i/>
        </w:rPr>
        <w:t>tatement</w:t>
      </w:r>
      <w:r w:rsidR="00216257">
        <w:rPr>
          <w:b/>
          <w:i/>
        </w:rPr>
        <w:t xml:space="preserve"> (QCS)</w:t>
      </w:r>
      <w:r w:rsidRPr="00F15D28">
        <w:t xml:space="preserve"> </w:t>
      </w:r>
      <w:r w:rsidR="00216257" w:rsidRPr="006912E5">
        <w:rPr>
          <w:rFonts w:eastAsia="Calibri"/>
        </w:rPr>
        <w:t xml:space="preserve">measures practices activity for the calculation of a payment under the program. QCS are provided to all practices registered for the PNIP. Practices are required to confirm their details online through HPOS or by faxing the QCS to us, to qualify for a payment under the program. </w:t>
      </w:r>
    </w:p>
    <w:p w14:paraId="0EFE1F48" w14:textId="6D87373C" w:rsidR="00F15D28" w:rsidRDefault="00E448A9" w:rsidP="00F15D28">
      <w:r>
        <w:rPr>
          <w:b/>
          <w:i/>
        </w:rPr>
        <w:t>Registered n</w:t>
      </w:r>
      <w:r w:rsidR="00F15D28" w:rsidRPr="00F15D28">
        <w:rPr>
          <w:b/>
          <w:i/>
        </w:rPr>
        <w:t>urse</w:t>
      </w:r>
      <w:r w:rsidR="00F15D28" w:rsidRPr="00F15D28">
        <w:rPr>
          <w:b/>
        </w:rPr>
        <w:t xml:space="preserve"> </w:t>
      </w:r>
      <w:r w:rsidRPr="006912E5">
        <w:t>is</w:t>
      </w:r>
      <w:r w:rsidR="00F15D28" w:rsidRPr="00E448A9">
        <w:t xml:space="preserve"> </w:t>
      </w:r>
      <w:r w:rsidR="00F15D28" w:rsidRPr="00F15D28">
        <w:t xml:space="preserve">a person who is registered with the </w:t>
      </w:r>
      <w:r w:rsidR="008F7FB2">
        <w:t>NMBA</w:t>
      </w:r>
      <w:r w:rsidR="00F15D28" w:rsidRPr="00F15D28">
        <w:t xml:space="preserve"> and meets</w:t>
      </w:r>
      <w:r>
        <w:t xml:space="preserve"> the b</w:t>
      </w:r>
      <w:r w:rsidR="00F15D28" w:rsidRPr="00F15D28">
        <w:t xml:space="preserve">oard’s registration standards to practice in Australia. </w:t>
      </w:r>
    </w:p>
    <w:p w14:paraId="68B70E12" w14:textId="22F9C713" w:rsidR="00535706" w:rsidRPr="00924A76" w:rsidRDefault="00535706" w:rsidP="00924A76">
      <w:pPr>
        <w:ind w:left="714" w:firstLine="0"/>
      </w:pPr>
      <w:r>
        <w:rPr>
          <w:b/>
          <w:i/>
        </w:rPr>
        <w:t>Retain</w:t>
      </w:r>
      <w:r w:rsidR="002656D9">
        <w:rPr>
          <w:b/>
          <w:i/>
        </w:rPr>
        <w:t xml:space="preserve">ed service </w:t>
      </w:r>
      <w:r w:rsidR="002656D9" w:rsidRPr="00924A76">
        <w:t>is</w:t>
      </w:r>
      <w:r w:rsidR="002656D9">
        <w:rPr>
          <w:b/>
        </w:rPr>
        <w:t xml:space="preserve"> </w:t>
      </w:r>
      <w:r w:rsidR="002656D9">
        <w:t xml:space="preserve">an arrangement between a practice nurse, allied health professional and/or Aboriginal Health worker and a participating practice for the provision of services to the practice, either through contracted, casual or other means.  </w:t>
      </w:r>
    </w:p>
    <w:p w14:paraId="790B809E" w14:textId="77777777" w:rsidR="0007145A" w:rsidRDefault="00770973" w:rsidP="00F15D28">
      <w:r w:rsidRPr="00F15D28">
        <w:t xml:space="preserve">The </w:t>
      </w:r>
      <w:r w:rsidRPr="00F15D28">
        <w:rPr>
          <w:b/>
          <w:i/>
        </w:rPr>
        <w:t xml:space="preserve">Royal Australian College of General Practitioners (RACGP) Standards for </w:t>
      </w:r>
      <w:r w:rsidR="00986117">
        <w:rPr>
          <w:b/>
          <w:i/>
        </w:rPr>
        <w:t>g</w:t>
      </w:r>
      <w:r w:rsidRPr="00F15D28">
        <w:rPr>
          <w:b/>
          <w:i/>
        </w:rPr>
        <w:t xml:space="preserve">eneral </w:t>
      </w:r>
      <w:r w:rsidR="00986117">
        <w:rPr>
          <w:b/>
          <w:i/>
        </w:rPr>
        <w:t>p</w:t>
      </w:r>
      <w:r w:rsidRPr="00F15D28">
        <w:rPr>
          <w:b/>
          <w:i/>
        </w:rPr>
        <w:t xml:space="preserve">ractices </w:t>
      </w:r>
      <w:r w:rsidRPr="00F15D28">
        <w:t xml:space="preserve">are the standards against which general practices are assessed for accreditation by an accreditation body. </w:t>
      </w:r>
    </w:p>
    <w:p w14:paraId="73D86AAF" w14:textId="495222D0" w:rsidR="00F15D28" w:rsidRPr="00F15D28" w:rsidRDefault="00F15D28" w:rsidP="00F15D28">
      <w:pPr>
        <w:rPr>
          <w:b/>
        </w:rPr>
      </w:pPr>
      <w:r w:rsidRPr="00F15D28">
        <w:rPr>
          <w:b/>
          <w:i/>
        </w:rPr>
        <w:t>Standard Whole Patient Equivalent (SWPE)</w:t>
      </w:r>
      <w:r w:rsidRPr="00F15D28">
        <w:rPr>
          <w:i/>
        </w:rPr>
        <w:t xml:space="preserve"> </w:t>
      </w:r>
      <w:r w:rsidRPr="00F15D28">
        <w:t xml:space="preserve">is the basis for determining PNIP payment amounts. It is the sum of the fractions of care a practice provides to each of its patients weighted for the age and gender of each patient. As a guide, the average full time </w:t>
      </w:r>
      <w:r w:rsidR="00FE71DD">
        <w:t>g</w:t>
      </w:r>
      <w:r w:rsidRPr="00F15D28">
        <w:t xml:space="preserve">eneral </w:t>
      </w:r>
      <w:r w:rsidR="00FE71DD">
        <w:t>p</w:t>
      </w:r>
      <w:r w:rsidRPr="00F15D28">
        <w:t>ractitioner has a SWPE value of around 1</w:t>
      </w:r>
      <w:r w:rsidR="00E448A9">
        <w:t>,</w:t>
      </w:r>
      <w:r w:rsidRPr="00F15D28">
        <w:t>000 SWPEs annually.</w:t>
      </w:r>
    </w:p>
    <w:p w14:paraId="19251477" w14:textId="30197AFD" w:rsidR="00F15D28" w:rsidRPr="00F15D28" w:rsidRDefault="00E448A9" w:rsidP="00F15D28">
      <w:r>
        <w:rPr>
          <w:b/>
          <w:i/>
        </w:rPr>
        <w:t>Urban Area</w:t>
      </w:r>
      <w:r w:rsidR="00F15D28" w:rsidRPr="00F15D28">
        <w:rPr>
          <w:b/>
          <w:i/>
        </w:rPr>
        <w:t xml:space="preserve"> of Workforce Shortage (UAWS)</w:t>
      </w:r>
      <w:r w:rsidR="00F15D28" w:rsidRPr="00F15D28">
        <w:t xml:space="preserve"> </w:t>
      </w:r>
      <w:r>
        <w:t>is</w:t>
      </w:r>
      <w:r w:rsidR="00F15D28" w:rsidRPr="00F15D28">
        <w:t xml:space="preserve"> as an area </w:t>
      </w:r>
      <w:r>
        <w:t>where</w:t>
      </w:r>
      <w:r w:rsidR="00F15D28" w:rsidRPr="00F15D28">
        <w:t xml:space="preserve"> the community is considered to have les</w:t>
      </w:r>
      <w:r>
        <w:t>s access to medical services tha</w:t>
      </w:r>
      <w:r w:rsidR="00F15D28" w:rsidRPr="00F15D28">
        <w:t>n that experienced by the population in general. Health generally uses Statistical Local Areas (SLAs) to define an area because SLAs are the smallest geographic unit for which population figures are available.</w:t>
      </w:r>
    </w:p>
    <w:p w14:paraId="6945A9BD" w14:textId="40BEF7B9" w:rsidR="00B62FF8" w:rsidRDefault="00B62FF8" w:rsidP="00BE3886"/>
    <w:sectPr w:rsidR="00B62FF8" w:rsidSect="00CF5486">
      <w:footerReference w:type="default" r:id="rId23"/>
      <w:pgSz w:w="11895" w:h="1683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A0A12" w14:textId="77777777" w:rsidR="009F48FC" w:rsidRDefault="009F48FC" w:rsidP="00495F85">
      <w:pPr>
        <w:spacing w:before="0" w:after="0" w:line="240" w:lineRule="auto"/>
      </w:pPr>
      <w:r>
        <w:separator/>
      </w:r>
    </w:p>
  </w:endnote>
  <w:endnote w:type="continuationSeparator" w:id="0">
    <w:p w14:paraId="4A648E74" w14:textId="77777777" w:rsidR="009F48FC" w:rsidRDefault="009F48FC" w:rsidP="00495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Con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HeavyCond">
    <w:altName w:val="HelveticaNeue HeavyCond"/>
    <w:panose1 w:val="00000000000000000000"/>
    <w:charset w:val="4D"/>
    <w:family w:val="auto"/>
    <w:notTrueType/>
    <w:pitch w:val="default"/>
    <w:sig w:usb0="00000003" w:usb1="00000000" w:usb2="00000000" w:usb3="00000000" w:csb0="00000001" w:csb1="00000000"/>
  </w:font>
  <w:font w:name="HelveticaNeue-BoldCond">
    <w:altName w:val="HelveticaNeue BoldCon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10446"/>
      <w:docPartObj>
        <w:docPartGallery w:val="Page Numbers (Bottom of Page)"/>
        <w:docPartUnique/>
      </w:docPartObj>
    </w:sdtPr>
    <w:sdtEndPr/>
    <w:sdtContent>
      <w:sdt>
        <w:sdtPr>
          <w:id w:val="-1769616900"/>
          <w:docPartObj>
            <w:docPartGallery w:val="Page Numbers (Top of Page)"/>
            <w:docPartUnique/>
          </w:docPartObj>
        </w:sdtPr>
        <w:sdtEndPr/>
        <w:sdtContent>
          <w:p w14:paraId="018903C3" w14:textId="36A9C9B2" w:rsidR="00B061AA" w:rsidRDefault="005566D8">
            <w:pPr>
              <w:pStyle w:val="Footer"/>
              <w:jc w:val="right"/>
            </w:pPr>
            <w:r>
              <w:t xml:space="preserve"> </w:t>
            </w:r>
            <w:r w:rsidR="00E45477">
              <w:t xml:space="preserve">Effective from 1 May </w:t>
            </w:r>
            <w:r>
              <w:t xml:space="preserve">2017                       </w:t>
            </w:r>
            <w:r w:rsidR="00B061AA">
              <w:t xml:space="preserve">Page </w:t>
            </w:r>
            <w:r w:rsidR="00B061AA">
              <w:rPr>
                <w:b/>
                <w:bCs/>
                <w:sz w:val="24"/>
                <w:szCs w:val="24"/>
              </w:rPr>
              <w:fldChar w:fldCharType="begin"/>
            </w:r>
            <w:r w:rsidR="00B061AA">
              <w:rPr>
                <w:b/>
                <w:bCs/>
              </w:rPr>
              <w:instrText xml:space="preserve"> PAGE </w:instrText>
            </w:r>
            <w:r w:rsidR="00B061AA">
              <w:rPr>
                <w:b/>
                <w:bCs/>
                <w:sz w:val="24"/>
                <w:szCs w:val="24"/>
              </w:rPr>
              <w:fldChar w:fldCharType="separate"/>
            </w:r>
            <w:r w:rsidR="000E7A9C">
              <w:rPr>
                <w:b/>
                <w:bCs/>
                <w:noProof/>
              </w:rPr>
              <w:t>2</w:t>
            </w:r>
            <w:r w:rsidR="00B061AA">
              <w:rPr>
                <w:b/>
                <w:bCs/>
                <w:sz w:val="24"/>
                <w:szCs w:val="24"/>
              </w:rPr>
              <w:fldChar w:fldCharType="end"/>
            </w:r>
            <w:r w:rsidR="00B061AA">
              <w:t xml:space="preserve"> of </w:t>
            </w:r>
            <w:r w:rsidR="00B061AA">
              <w:rPr>
                <w:b/>
                <w:bCs/>
                <w:sz w:val="24"/>
                <w:szCs w:val="24"/>
              </w:rPr>
              <w:fldChar w:fldCharType="begin"/>
            </w:r>
            <w:r w:rsidR="00B061AA">
              <w:rPr>
                <w:b/>
                <w:bCs/>
              </w:rPr>
              <w:instrText xml:space="preserve"> NUMPAGES  </w:instrText>
            </w:r>
            <w:r w:rsidR="00B061AA">
              <w:rPr>
                <w:b/>
                <w:bCs/>
                <w:sz w:val="24"/>
                <w:szCs w:val="24"/>
              </w:rPr>
              <w:fldChar w:fldCharType="separate"/>
            </w:r>
            <w:r w:rsidR="000E7A9C">
              <w:rPr>
                <w:b/>
                <w:bCs/>
                <w:noProof/>
              </w:rPr>
              <w:t>16</w:t>
            </w:r>
            <w:r w:rsidR="00B061AA">
              <w:rPr>
                <w:b/>
                <w:bCs/>
                <w:sz w:val="24"/>
                <w:szCs w:val="24"/>
              </w:rPr>
              <w:fldChar w:fldCharType="end"/>
            </w:r>
          </w:p>
        </w:sdtContent>
      </w:sdt>
    </w:sdtContent>
  </w:sdt>
  <w:p w14:paraId="2109F0D6" w14:textId="77777777" w:rsidR="00B061AA" w:rsidRDefault="00B0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B0C4" w14:textId="77777777" w:rsidR="009F48FC" w:rsidRDefault="009F48FC" w:rsidP="00495F85">
      <w:pPr>
        <w:spacing w:before="0" w:after="0" w:line="240" w:lineRule="auto"/>
      </w:pPr>
      <w:r>
        <w:separator/>
      </w:r>
    </w:p>
  </w:footnote>
  <w:footnote w:type="continuationSeparator" w:id="0">
    <w:p w14:paraId="4D1A3F96" w14:textId="77777777" w:rsidR="009F48FC" w:rsidRDefault="009F48FC" w:rsidP="00495F8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305"/>
    <w:multiLevelType w:val="hybridMultilevel"/>
    <w:tmpl w:val="6D6AF084"/>
    <w:lvl w:ilvl="0" w:tplc="0C090001">
      <w:start w:val="1"/>
      <w:numFmt w:val="bullet"/>
      <w:lvlText w:val=""/>
      <w:lvlJc w:val="left"/>
      <w:pPr>
        <w:ind w:left="1619" w:hanging="360"/>
      </w:pPr>
      <w:rPr>
        <w:rFonts w:ascii="Symbol" w:hAnsi="Symbol" w:hint="default"/>
      </w:rPr>
    </w:lvl>
    <w:lvl w:ilvl="1" w:tplc="0C090003" w:tentative="1">
      <w:start w:val="1"/>
      <w:numFmt w:val="bullet"/>
      <w:lvlText w:val="o"/>
      <w:lvlJc w:val="left"/>
      <w:pPr>
        <w:ind w:left="2339" w:hanging="360"/>
      </w:pPr>
      <w:rPr>
        <w:rFonts w:ascii="Courier New" w:hAnsi="Courier New" w:cs="Courier New" w:hint="default"/>
      </w:rPr>
    </w:lvl>
    <w:lvl w:ilvl="2" w:tplc="0C090005" w:tentative="1">
      <w:start w:val="1"/>
      <w:numFmt w:val="bullet"/>
      <w:lvlText w:val=""/>
      <w:lvlJc w:val="left"/>
      <w:pPr>
        <w:ind w:left="3059" w:hanging="360"/>
      </w:pPr>
      <w:rPr>
        <w:rFonts w:ascii="Wingdings" w:hAnsi="Wingdings" w:hint="default"/>
      </w:rPr>
    </w:lvl>
    <w:lvl w:ilvl="3" w:tplc="0C090001" w:tentative="1">
      <w:start w:val="1"/>
      <w:numFmt w:val="bullet"/>
      <w:lvlText w:val=""/>
      <w:lvlJc w:val="left"/>
      <w:pPr>
        <w:ind w:left="3779" w:hanging="360"/>
      </w:pPr>
      <w:rPr>
        <w:rFonts w:ascii="Symbol" w:hAnsi="Symbol" w:hint="default"/>
      </w:rPr>
    </w:lvl>
    <w:lvl w:ilvl="4" w:tplc="0C090003" w:tentative="1">
      <w:start w:val="1"/>
      <w:numFmt w:val="bullet"/>
      <w:lvlText w:val="o"/>
      <w:lvlJc w:val="left"/>
      <w:pPr>
        <w:ind w:left="4499" w:hanging="360"/>
      </w:pPr>
      <w:rPr>
        <w:rFonts w:ascii="Courier New" w:hAnsi="Courier New" w:cs="Courier New" w:hint="default"/>
      </w:rPr>
    </w:lvl>
    <w:lvl w:ilvl="5" w:tplc="0C090005" w:tentative="1">
      <w:start w:val="1"/>
      <w:numFmt w:val="bullet"/>
      <w:lvlText w:val=""/>
      <w:lvlJc w:val="left"/>
      <w:pPr>
        <w:ind w:left="5219" w:hanging="360"/>
      </w:pPr>
      <w:rPr>
        <w:rFonts w:ascii="Wingdings" w:hAnsi="Wingdings" w:hint="default"/>
      </w:rPr>
    </w:lvl>
    <w:lvl w:ilvl="6" w:tplc="0C090001" w:tentative="1">
      <w:start w:val="1"/>
      <w:numFmt w:val="bullet"/>
      <w:lvlText w:val=""/>
      <w:lvlJc w:val="left"/>
      <w:pPr>
        <w:ind w:left="5939" w:hanging="360"/>
      </w:pPr>
      <w:rPr>
        <w:rFonts w:ascii="Symbol" w:hAnsi="Symbol" w:hint="default"/>
      </w:rPr>
    </w:lvl>
    <w:lvl w:ilvl="7" w:tplc="0C090003" w:tentative="1">
      <w:start w:val="1"/>
      <w:numFmt w:val="bullet"/>
      <w:lvlText w:val="o"/>
      <w:lvlJc w:val="left"/>
      <w:pPr>
        <w:ind w:left="6659" w:hanging="360"/>
      </w:pPr>
      <w:rPr>
        <w:rFonts w:ascii="Courier New" w:hAnsi="Courier New" w:cs="Courier New" w:hint="default"/>
      </w:rPr>
    </w:lvl>
    <w:lvl w:ilvl="8" w:tplc="0C090005" w:tentative="1">
      <w:start w:val="1"/>
      <w:numFmt w:val="bullet"/>
      <w:lvlText w:val=""/>
      <w:lvlJc w:val="left"/>
      <w:pPr>
        <w:ind w:left="7379" w:hanging="360"/>
      </w:pPr>
      <w:rPr>
        <w:rFonts w:ascii="Wingdings" w:hAnsi="Wingdings" w:hint="default"/>
      </w:rPr>
    </w:lvl>
  </w:abstractNum>
  <w:abstractNum w:abstractNumId="1" w15:restartNumberingAfterBreak="0">
    <w:nsid w:val="0ACC5962"/>
    <w:multiLevelType w:val="hybridMultilevel"/>
    <w:tmpl w:val="96AA94E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116747FF"/>
    <w:multiLevelType w:val="hybridMultilevel"/>
    <w:tmpl w:val="8770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97D09"/>
    <w:multiLevelType w:val="hybridMultilevel"/>
    <w:tmpl w:val="2F08C0F0"/>
    <w:lvl w:ilvl="0" w:tplc="0C090001">
      <w:start w:val="1"/>
      <w:numFmt w:val="bullet"/>
      <w:lvlText w:val=""/>
      <w:lvlJc w:val="left"/>
      <w:pPr>
        <w:ind w:left="1979" w:hanging="360"/>
      </w:pPr>
      <w:rPr>
        <w:rFonts w:ascii="Symbol" w:hAnsi="Symbol" w:hint="default"/>
      </w:rPr>
    </w:lvl>
    <w:lvl w:ilvl="1" w:tplc="0C090003" w:tentative="1">
      <w:start w:val="1"/>
      <w:numFmt w:val="bullet"/>
      <w:lvlText w:val="o"/>
      <w:lvlJc w:val="left"/>
      <w:pPr>
        <w:ind w:left="2699" w:hanging="360"/>
      </w:pPr>
      <w:rPr>
        <w:rFonts w:ascii="Courier New" w:hAnsi="Courier New" w:cs="Courier New" w:hint="default"/>
      </w:rPr>
    </w:lvl>
    <w:lvl w:ilvl="2" w:tplc="0C090005" w:tentative="1">
      <w:start w:val="1"/>
      <w:numFmt w:val="bullet"/>
      <w:lvlText w:val=""/>
      <w:lvlJc w:val="left"/>
      <w:pPr>
        <w:ind w:left="3419" w:hanging="360"/>
      </w:pPr>
      <w:rPr>
        <w:rFonts w:ascii="Wingdings" w:hAnsi="Wingdings" w:hint="default"/>
      </w:rPr>
    </w:lvl>
    <w:lvl w:ilvl="3" w:tplc="0C090001" w:tentative="1">
      <w:start w:val="1"/>
      <w:numFmt w:val="bullet"/>
      <w:lvlText w:val=""/>
      <w:lvlJc w:val="left"/>
      <w:pPr>
        <w:ind w:left="4139" w:hanging="360"/>
      </w:pPr>
      <w:rPr>
        <w:rFonts w:ascii="Symbol" w:hAnsi="Symbol" w:hint="default"/>
      </w:rPr>
    </w:lvl>
    <w:lvl w:ilvl="4" w:tplc="0C090003" w:tentative="1">
      <w:start w:val="1"/>
      <w:numFmt w:val="bullet"/>
      <w:lvlText w:val="o"/>
      <w:lvlJc w:val="left"/>
      <w:pPr>
        <w:ind w:left="4859" w:hanging="360"/>
      </w:pPr>
      <w:rPr>
        <w:rFonts w:ascii="Courier New" w:hAnsi="Courier New" w:cs="Courier New" w:hint="default"/>
      </w:rPr>
    </w:lvl>
    <w:lvl w:ilvl="5" w:tplc="0C090005" w:tentative="1">
      <w:start w:val="1"/>
      <w:numFmt w:val="bullet"/>
      <w:lvlText w:val=""/>
      <w:lvlJc w:val="left"/>
      <w:pPr>
        <w:ind w:left="5579" w:hanging="360"/>
      </w:pPr>
      <w:rPr>
        <w:rFonts w:ascii="Wingdings" w:hAnsi="Wingdings" w:hint="default"/>
      </w:rPr>
    </w:lvl>
    <w:lvl w:ilvl="6" w:tplc="0C090001" w:tentative="1">
      <w:start w:val="1"/>
      <w:numFmt w:val="bullet"/>
      <w:lvlText w:val=""/>
      <w:lvlJc w:val="left"/>
      <w:pPr>
        <w:ind w:left="6299" w:hanging="360"/>
      </w:pPr>
      <w:rPr>
        <w:rFonts w:ascii="Symbol" w:hAnsi="Symbol" w:hint="default"/>
      </w:rPr>
    </w:lvl>
    <w:lvl w:ilvl="7" w:tplc="0C090003" w:tentative="1">
      <w:start w:val="1"/>
      <w:numFmt w:val="bullet"/>
      <w:lvlText w:val="o"/>
      <w:lvlJc w:val="left"/>
      <w:pPr>
        <w:ind w:left="7019" w:hanging="360"/>
      </w:pPr>
      <w:rPr>
        <w:rFonts w:ascii="Courier New" w:hAnsi="Courier New" w:cs="Courier New" w:hint="default"/>
      </w:rPr>
    </w:lvl>
    <w:lvl w:ilvl="8" w:tplc="0C090005" w:tentative="1">
      <w:start w:val="1"/>
      <w:numFmt w:val="bullet"/>
      <w:lvlText w:val=""/>
      <w:lvlJc w:val="left"/>
      <w:pPr>
        <w:ind w:left="7739" w:hanging="360"/>
      </w:pPr>
      <w:rPr>
        <w:rFonts w:ascii="Wingdings" w:hAnsi="Wingdings" w:hint="default"/>
      </w:rPr>
    </w:lvl>
  </w:abstractNum>
  <w:abstractNum w:abstractNumId="4" w15:restartNumberingAfterBreak="0">
    <w:nsid w:val="194D5D9D"/>
    <w:multiLevelType w:val="hybridMultilevel"/>
    <w:tmpl w:val="6DB4FD56"/>
    <w:lvl w:ilvl="0" w:tplc="0C090017">
      <w:start w:val="1"/>
      <w:numFmt w:val="lowerLetter"/>
      <w:lvlText w:val="%1)"/>
      <w:lvlJc w:val="left"/>
      <w:pPr>
        <w:ind w:left="1074" w:hanging="360"/>
      </w:pPr>
      <w:rPr>
        <w:rFonts w:hint="default"/>
        <w:b w:val="0"/>
        <w:i w:val="0"/>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5" w15:restartNumberingAfterBreak="0">
    <w:nsid w:val="1A7F2F4C"/>
    <w:multiLevelType w:val="hybridMultilevel"/>
    <w:tmpl w:val="F882177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32AD582A"/>
    <w:multiLevelType w:val="hybridMultilevel"/>
    <w:tmpl w:val="F52AEB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1A2E9C"/>
    <w:multiLevelType w:val="hybridMultilevel"/>
    <w:tmpl w:val="A15CCF4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350546ED"/>
    <w:multiLevelType w:val="hybridMultilevel"/>
    <w:tmpl w:val="61928CC4"/>
    <w:lvl w:ilvl="0" w:tplc="9E161F0E">
      <w:start w:val="1"/>
      <w:numFmt w:val="bullet"/>
      <w:lvlText w:val="•"/>
      <w:lvlJc w:val="left"/>
      <w:pPr>
        <w:ind w:left="1132"/>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A32AF044">
      <w:start w:val="1"/>
      <w:numFmt w:val="bullet"/>
      <w:lvlText w:val="o"/>
      <w:lvlJc w:val="left"/>
      <w:pPr>
        <w:ind w:left="130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1E6215C4">
      <w:start w:val="1"/>
      <w:numFmt w:val="bullet"/>
      <w:lvlText w:val="▪"/>
      <w:lvlJc w:val="left"/>
      <w:pPr>
        <w:ind w:left="202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71B49030">
      <w:start w:val="1"/>
      <w:numFmt w:val="bullet"/>
      <w:lvlText w:val="•"/>
      <w:lvlJc w:val="left"/>
      <w:pPr>
        <w:ind w:left="274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F9B66716">
      <w:start w:val="1"/>
      <w:numFmt w:val="bullet"/>
      <w:lvlText w:val="o"/>
      <w:lvlJc w:val="left"/>
      <w:pPr>
        <w:ind w:left="346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0C3E0870">
      <w:start w:val="1"/>
      <w:numFmt w:val="bullet"/>
      <w:lvlText w:val="▪"/>
      <w:lvlJc w:val="left"/>
      <w:pPr>
        <w:ind w:left="418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0068F486">
      <w:start w:val="1"/>
      <w:numFmt w:val="bullet"/>
      <w:lvlText w:val="•"/>
      <w:lvlJc w:val="left"/>
      <w:pPr>
        <w:ind w:left="490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47C48EFA">
      <w:start w:val="1"/>
      <w:numFmt w:val="bullet"/>
      <w:lvlText w:val="o"/>
      <w:lvlJc w:val="left"/>
      <w:pPr>
        <w:ind w:left="562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A552E80A">
      <w:start w:val="1"/>
      <w:numFmt w:val="bullet"/>
      <w:lvlText w:val="▪"/>
      <w:lvlJc w:val="left"/>
      <w:pPr>
        <w:ind w:left="6344"/>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9" w15:restartNumberingAfterBreak="0">
    <w:nsid w:val="3767325B"/>
    <w:multiLevelType w:val="hybridMultilevel"/>
    <w:tmpl w:val="FE6C3DF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E464D05"/>
    <w:multiLevelType w:val="hybridMultilevel"/>
    <w:tmpl w:val="E4FE62E2"/>
    <w:lvl w:ilvl="0" w:tplc="0C09000F">
      <w:start w:val="1"/>
      <w:numFmt w:val="decimal"/>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56030A24"/>
    <w:multiLevelType w:val="multilevel"/>
    <w:tmpl w:val="7752D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401325"/>
    <w:multiLevelType w:val="hybridMultilevel"/>
    <w:tmpl w:val="3C5037EC"/>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6FB255F0"/>
    <w:multiLevelType w:val="hybridMultilevel"/>
    <w:tmpl w:val="5FD28CF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71842B49"/>
    <w:multiLevelType w:val="hybridMultilevel"/>
    <w:tmpl w:val="F9F60EFE"/>
    <w:lvl w:ilvl="0" w:tplc="83C2142C">
      <w:start w:val="1"/>
      <w:numFmt w:val="bullet"/>
      <w:pStyle w:val="PNIPbullets"/>
      <w:lvlText w:val=""/>
      <w:lvlJc w:val="left"/>
      <w:pPr>
        <w:ind w:left="1919" w:hanging="360"/>
      </w:pPr>
      <w:rPr>
        <w:rFonts w:ascii="Symbol" w:hAnsi="Symbol" w:hint="default"/>
      </w:rPr>
    </w:lvl>
    <w:lvl w:ilvl="1" w:tplc="0C090003">
      <w:start w:val="1"/>
      <w:numFmt w:val="bullet"/>
      <w:lvlText w:val="o"/>
      <w:lvlJc w:val="left"/>
      <w:pPr>
        <w:ind w:left="2337" w:hanging="360"/>
      </w:pPr>
      <w:rPr>
        <w:rFonts w:ascii="Courier New" w:hAnsi="Courier New" w:cs="Courier New" w:hint="default"/>
      </w:rPr>
    </w:lvl>
    <w:lvl w:ilvl="2" w:tplc="0C090005" w:tentative="1">
      <w:start w:val="1"/>
      <w:numFmt w:val="bullet"/>
      <w:lvlText w:val=""/>
      <w:lvlJc w:val="left"/>
      <w:pPr>
        <w:ind w:left="3057" w:hanging="360"/>
      </w:pPr>
      <w:rPr>
        <w:rFonts w:ascii="Wingdings" w:hAnsi="Wingdings" w:hint="default"/>
      </w:rPr>
    </w:lvl>
    <w:lvl w:ilvl="3" w:tplc="0C090001" w:tentative="1">
      <w:start w:val="1"/>
      <w:numFmt w:val="bullet"/>
      <w:lvlText w:val=""/>
      <w:lvlJc w:val="left"/>
      <w:pPr>
        <w:ind w:left="3777" w:hanging="360"/>
      </w:pPr>
      <w:rPr>
        <w:rFonts w:ascii="Symbol" w:hAnsi="Symbol" w:hint="default"/>
      </w:rPr>
    </w:lvl>
    <w:lvl w:ilvl="4" w:tplc="0C090003" w:tentative="1">
      <w:start w:val="1"/>
      <w:numFmt w:val="bullet"/>
      <w:lvlText w:val="o"/>
      <w:lvlJc w:val="left"/>
      <w:pPr>
        <w:ind w:left="4497" w:hanging="360"/>
      </w:pPr>
      <w:rPr>
        <w:rFonts w:ascii="Courier New" w:hAnsi="Courier New" w:cs="Courier New" w:hint="default"/>
      </w:rPr>
    </w:lvl>
    <w:lvl w:ilvl="5" w:tplc="0C090005" w:tentative="1">
      <w:start w:val="1"/>
      <w:numFmt w:val="bullet"/>
      <w:lvlText w:val=""/>
      <w:lvlJc w:val="left"/>
      <w:pPr>
        <w:ind w:left="5217" w:hanging="360"/>
      </w:pPr>
      <w:rPr>
        <w:rFonts w:ascii="Wingdings" w:hAnsi="Wingdings" w:hint="default"/>
      </w:rPr>
    </w:lvl>
    <w:lvl w:ilvl="6" w:tplc="0C090001" w:tentative="1">
      <w:start w:val="1"/>
      <w:numFmt w:val="bullet"/>
      <w:lvlText w:val=""/>
      <w:lvlJc w:val="left"/>
      <w:pPr>
        <w:ind w:left="5937" w:hanging="360"/>
      </w:pPr>
      <w:rPr>
        <w:rFonts w:ascii="Symbol" w:hAnsi="Symbol" w:hint="default"/>
      </w:rPr>
    </w:lvl>
    <w:lvl w:ilvl="7" w:tplc="0C090003" w:tentative="1">
      <w:start w:val="1"/>
      <w:numFmt w:val="bullet"/>
      <w:lvlText w:val="o"/>
      <w:lvlJc w:val="left"/>
      <w:pPr>
        <w:ind w:left="6657" w:hanging="360"/>
      </w:pPr>
      <w:rPr>
        <w:rFonts w:ascii="Courier New" w:hAnsi="Courier New" w:cs="Courier New" w:hint="default"/>
      </w:rPr>
    </w:lvl>
    <w:lvl w:ilvl="8" w:tplc="0C090005" w:tentative="1">
      <w:start w:val="1"/>
      <w:numFmt w:val="bullet"/>
      <w:lvlText w:val=""/>
      <w:lvlJc w:val="left"/>
      <w:pPr>
        <w:ind w:left="7377" w:hanging="360"/>
      </w:pPr>
      <w:rPr>
        <w:rFonts w:ascii="Wingdings" w:hAnsi="Wingdings" w:hint="default"/>
      </w:rPr>
    </w:lvl>
  </w:abstractNum>
  <w:abstractNum w:abstractNumId="15" w15:restartNumberingAfterBreak="0">
    <w:nsid w:val="739E3997"/>
    <w:multiLevelType w:val="hybridMultilevel"/>
    <w:tmpl w:val="6DB4FD56"/>
    <w:lvl w:ilvl="0" w:tplc="0C090017">
      <w:start w:val="1"/>
      <w:numFmt w:val="lowerLetter"/>
      <w:lvlText w:val="%1)"/>
      <w:lvlJc w:val="left"/>
      <w:pPr>
        <w:ind w:left="1074" w:hanging="360"/>
      </w:pPr>
      <w:rPr>
        <w:rFonts w:hint="default"/>
        <w:b w:val="0"/>
        <w:i w:val="0"/>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num w:numId="1">
    <w:abstractNumId w:val="8"/>
  </w:num>
  <w:num w:numId="2">
    <w:abstractNumId w:val="14"/>
  </w:num>
  <w:num w:numId="3">
    <w:abstractNumId w:val="2"/>
  </w:num>
  <w:num w:numId="4">
    <w:abstractNumId w:val="10"/>
  </w:num>
  <w:num w:numId="5">
    <w:abstractNumId w:val="15"/>
  </w:num>
  <w:num w:numId="6">
    <w:abstractNumId w:val="4"/>
  </w:num>
  <w:num w:numId="7">
    <w:abstractNumId w:val="0"/>
  </w:num>
  <w:num w:numId="8">
    <w:abstractNumId w:val="3"/>
  </w:num>
  <w:num w:numId="9">
    <w:abstractNumId w:val="1"/>
  </w:num>
  <w:num w:numId="10">
    <w:abstractNumId w:val="12"/>
  </w:num>
  <w:num w:numId="11">
    <w:abstractNumId w:val="6"/>
  </w:num>
  <w:num w:numId="12">
    <w:abstractNumId w:val="13"/>
  </w:num>
  <w:num w:numId="13">
    <w:abstractNumId w:val="7"/>
  </w:num>
  <w:num w:numId="14">
    <w:abstractNumId w:val="5"/>
  </w:num>
  <w:num w:numId="15">
    <w:abstractNumId w:val="9"/>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F8"/>
    <w:rsid w:val="0000123B"/>
    <w:rsid w:val="00003F88"/>
    <w:rsid w:val="00006301"/>
    <w:rsid w:val="00010E25"/>
    <w:rsid w:val="00013E37"/>
    <w:rsid w:val="000171DB"/>
    <w:rsid w:val="000222AC"/>
    <w:rsid w:val="000228D6"/>
    <w:rsid w:val="00026564"/>
    <w:rsid w:val="00034F2A"/>
    <w:rsid w:val="00040B5C"/>
    <w:rsid w:val="000430D8"/>
    <w:rsid w:val="00044DEF"/>
    <w:rsid w:val="00045523"/>
    <w:rsid w:val="00056A13"/>
    <w:rsid w:val="00063450"/>
    <w:rsid w:val="0007145A"/>
    <w:rsid w:val="00090F73"/>
    <w:rsid w:val="00093C4D"/>
    <w:rsid w:val="000B2008"/>
    <w:rsid w:val="000B6E9B"/>
    <w:rsid w:val="000C0ECB"/>
    <w:rsid w:val="000C4563"/>
    <w:rsid w:val="000C5903"/>
    <w:rsid w:val="000D23B6"/>
    <w:rsid w:val="000D4B75"/>
    <w:rsid w:val="000D4CA5"/>
    <w:rsid w:val="000D5AC3"/>
    <w:rsid w:val="000E3006"/>
    <w:rsid w:val="000E7A9C"/>
    <w:rsid w:val="000F3B55"/>
    <w:rsid w:val="000F45DF"/>
    <w:rsid w:val="000F6A76"/>
    <w:rsid w:val="000F74C7"/>
    <w:rsid w:val="0010031A"/>
    <w:rsid w:val="00112A1C"/>
    <w:rsid w:val="001159AE"/>
    <w:rsid w:val="00117483"/>
    <w:rsid w:val="00122052"/>
    <w:rsid w:val="00122351"/>
    <w:rsid w:val="00122BB0"/>
    <w:rsid w:val="00125B5E"/>
    <w:rsid w:val="00130E10"/>
    <w:rsid w:val="00133EB5"/>
    <w:rsid w:val="001523F1"/>
    <w:rsid w:val="00166D9B"/>
    <w:rsid w:val="00170055"/>
    <w:rsid w:val="0017136F"/>
    <w:rsid w:val="00191E9A"/>
    <w:rsid w:val="001A1598"/>
    <w:rsid w:val="001A2A5B"/>
    <w:rsid w:val="001A302B"/>
    <w:rsid w:val="001A3FAA"/>
    <w:rsid w:val="001A5530"/>
    <w:rsid w:val="001C5088"/>
    <w:rsid w:val="001C74C0"/>
    <w:rsid w:val="001E020C"/>
    <w:rsid w:val="001F2215"/>
    <w:rsid w:val="00200365"/>
    <w:rsid w:val="002021EB"/>
    <w:rsid w:val="002042AE"/>
    <w:rsid w:val="0020670E"/>
    <w:rsid w:val="002125DA"/>
    <w:rsid w:val="00214B39"/>
    <w:rsid w:val="00216257"/>
    <w:rsid w:val="002244F5"/>
    <w:rsid w:val="00226AF7"/>
    <w:rsid w:val="00233CE1"/>
    <w:rsid w:val="00241CE9"/>
    <w:rsid w:val="002420B1"/>
    <w:rsid w:val="00251451"/>
    <w:rsid w:val="00252527"/>
    <w:rsid w:val="00253D2C"/>
    <w:rsid w:val="0026279E"/>
    <w:rsid w:val="002656D9"/>
    <w:rsid w:val="00265D8A"/>
    <w:rsid w:val="0027259F"/>
    <w:rsid w:val="0027748E"/>
    <w:rsid w:val="002811BD"/>
    <w:rsid w:val="00283DEF"/>
    <w:rsid w:val="0028424A"/>
    <w:rsid w:val="002A0116"/>
    <w:rsid w:val="002A6149"/>
    <w:rsid w:val="002B079B"/>
    <w:rsid w:val="002B2C9F"/>
    <w:rsid w:val="002C3F6A"/>
    <w:rsid w:val="002C7298"/>
    <w:rsid w:val="002C74AF"/>
    <w:rsid w:val="002E4553"/>
    <w:rsid w:val="002F0097"/>
    <w:rsid w:val="002F7E32"/>
    <w:rsid w:val="003005E0"/>
    <w:rsid w:val="00302EA3"/>
    <w:rsid w:val="00315C52"/>
    <w:rsid w:val="0031648E"/>
    <w:rsid w:val="003170DF"/>
    <w:rsid w:val="00321B42"/>
    <w:rsid w:val="00322295"/>
    <w:rsid w:val="003375C4"/>
    <w:rsid w:val="00346717"/>
    <w:rsid w:val="00347F1C"/>
    <w:rsid w:val="003545A3"/>
    <w:rsid w:val="00354C94"/>
    <w:rsid w:val="00365046"/>
    <w:rsid w:val="0036652A"/>
    <w:rsid w:val="00373C05"/>
    <w:rsid w:val="00374FE2"/>
    <w:rsid w:val="0037699E"/>
    <w:rsid w:val="003802EA"/>
    <w:rsid w:val="003A5238"/>
    <w:rsid w:val="003B0466"/>
    <w:rsid w:val="003B2AB4"/>
    <w:rsid w:val="003B4868"/>
    <w:rsid w:val="003B65C6"/>
    <w:rsid w:val="003B7BF0"/>
    <w:rsid w:val="003C2290"/>
    <w:rsid w:val="003C63FD"/>
    <w:rsid w:val="003E04A1"/>
    <w:rsid w:val="003E1DD8"/>
    <w:rsid w:val="003E39A5"/>
    <w:rsid w:val="003F0F37"/>
    <w:rsid w:val="00400685"/>
    <w:rsid w:val="00400800"/>
    <w:rsid w:val="0040783D"/>
    <w:rsid w:val="00407B1C"/>
    <w:rsid w:val="00422CF7"/>
    <w:rsid w:val="00427D66"/>
    <w:rsid w:val="004450E3"/>
    <w:rsid w:val="00447FD3"/>
    <w:rsid w:val="00454C1E"/>
    <w:rsid w:val="004629E4"/>
    <w:rsid w:val="00471813"/>
    <w:rsid w:val="004726E0"/>
    <w:rsid w:val="00473949"/>
    <w:rsid w:val="0047435F"/>
    <w:rsid w:val="00476538"/>
    <w:rsid w:val="00480F5C"/>
    <w:rsid w:val="004825B5"/>
    <w:rsid w:val="00484402"/>
    <w:rsid w:val="00495AAC"/>
    <w:rsid w:val="00495F85"/>
    <w:rsid w:val="00496253"/>
    <w:rsid w:val="004A1582"/>
    <w:rsid w:val="004A4423"/>
    <w:rsid w:val="004A609F"/>
    <w:rsid w:val="004B3613"/>
    <w:rsid w:val="004B5003"/>
    <w:rsid w:val="004C1FAA"/>
    <w:rsid w:val="004C32F0"/>
    <w:rsid w:val="004D560E"/>
    <w:rsid w:val="004E43CF"/>
    <w:rsid w:val="004F7399"/>
    <w:rsid w:val="0050226C"/>
    <w:rsid w:val="00505BB0"/>
    <w:rsid w:val="005159C7"/>
    <w:rsid w:val="005273D7"/>
    <w:rsid w:val="005315D6"/>
    <w:rsid w:val="005339C9"/>
    <w:rsid w:val="00533CA7"/>
    <w:rsid w:val="00535548"/>
    <w:rsid w:val="00535706"/>
    <w:rsid w:val="00546EA9"/>
    <w:rsid w:val="00553A80"/>
    <w:rsid w:val="005564B3"/>
    <w:rsid w:val="005566D8"/>
    <w:rsid w:val="00557E75"/>
    <w:rsid w:val="00561BB8"/>
    <w:rsid w:val="00562F88"/>
    <w:rsid w:val="00576F77"/>
    <w:rsid w:val="005825EE"/>
    <w:rsid w:val="00595D0C"/>
    <w:rsid w:val="005A002A"/>
    <w:rsid w:val="005A3BC6"/>
    <w:rsid w:val="005B28EA"/>
    <w:rsid w:val="005B5A16"/>
    <w:rsid w:val="005B6A42"/>
    <w:rsid w:val="005C7BE7"/>
    <w:rsid w:val="005D4139"/>
    <w:rsid w:val="0060124C"/>
    <w:rsid w:val="00612A31"/>
    <w:rsid w:val="006147B0"/>
    <w:rsid w:val="00616E59"/>
    <w:rsid w:val="00616E5A"/>
    <w:rsid w:val="00617CCB"/>
    <w:rsid w:val="006252F1"/>
    <w:rsid w:val="006264BB"/>
    <w:rsid w:val="0064168B"/>
    <w:rsid w:val="00645F02"/>
    <w:rsid w:val="00650CC5"/>
    <w:rsid w:val="006573AB"/>
    <w:rsid w:val="00663A75"/>
    <w:rsid w:val="00670A0A"/>
    <w:rsid w:val="00683023"/>
    <w:rsid w:val="006912E5"/>
    <w:rsid w:val="006925EB"/>
    <w:rsid w:val="00696999"/>
    <w:rsid w:val="006A3EDD"/>
    <w:rsid w:val="006A4997"/>
    <w:rsid w:val="006A612E"/>
    <w:rsid w:val="006C57E6"/>
    <w:rsid w:val="006D4CB2"/>
    <w:rsid w:val="006D78FC"/>
    <w:rsid w:val="006E75F6"/>
    <w:rsid w:val="006F6344"/>
    <w:rsid w:val="006F7F3B"/>
    <w:rsid w:val="007033E0"/>
    <w:rsid w:val="00703D74"/>
    <w:rsid w:val="00706EA0"/>
    <w:rsid w:val="007114A0"/>
    <w:rsid w:val="00712A30"/>
    <w:rsid w:val="007146AF"/>
    <w:rsid w:val="007227AA"/>
    <w:rsid w:val="007379E6"/>
    <w:rsid w:val="00755B61"/>
    <w:rsid w:val="00767A0A"/>
    <w:rsid w:val="00770973"/>
    <w:rsid w:val="00775D5D"/>
    <w:rsid w:val="00790ED4"/>
    <w:rsid w:val="007914C2"/>
    <w:rsid w:val="007930FD"/>
    <w:rsid w:val="0079411F"/>
    <w:rsid w:val="00795045"/>
    <w:rsid w:val="007956B3"/>
    <w:rsid w:val="00797A41"/>
    <w:rsid w:val="007A5587"/>
    <w:rsid w:val="007C0100"/>
    <w:rsid w:val="007D6985"/>
    <w:rsid w:val="007E47BA"/>
    <w:rsid w:val="007E500D"/>
    <w:rsid w:val="007E6F65"/>
    <w:rsid w:val="007F1E50"/>
    <w:rsid w:val="007F2F72"/>
    <w:rsid w:val="00806AA7"/>
    <w:rsid w:val="00816B12"/>
    <w:rsid w:val="00817E98"/>
    <w:rsid w:val="00822E3F"/>
    <w:rsid w:val="00835A82"/>
    <w:rsid w:val="00852EBF"/>
    <w:rsid w:val="00853039"/>
    <w:rsid w:val="008610A2"/>
    <w:rsid w:val="00864EC0"/>
    <w:rsid w:val="00865268"/>
    <w:rsid w:val="00865C0F"/>
    <w:rsid w:val="008702B6"/>
    <w:rsid w:val="00873167"/>
    <w:rsid w:val="00893F97"/>
    <w:rsid w:val="008A664E"/>
    <w:rsid w:val="008D2482"/>
    <w:rsid w:val="008D6B70"/>
    <w:rsid w:val="008D7A53"/>
    <w:rsid w:val="008E41DD"/>
    <w:rsid w:val="008F092B"/>
    <w:rsid w:val="008F6E73"/>
    <w:rsid w:val="008F748D"/>
    <w:rsid w:val="008F7FB2"/>
    <w:rsid w:val="00905593"/>
    <w:rsid w:val="00912A3F"/>
    <w:rsid w:val="00912F02"/>
    <w:rsid w:val="0091758F"/>
    <w:rsid w:val="00917ACD"/>
    <w:rsid w:val="00920B20"/>
    <w:rsid w:val="00924A76"/>
    <w:rsid w:val="00925292"/>
    <w:rsid w:val="00925EDD"/>
    <w:rsid w:val="009300B8"/>
    <w:rsid w:val="009370FB"/>
    <w:rsid w:val="009427E9"/>
    <w:rsid w:val="00946458"/>
    <w:rsid w:val="00967FD2"/>
    <w:rsid w:val="009820A1"/>
    <w:rsid w:val="00986117"/>
    <w:rsid w:val="009872C5"/>
    <w:rsid w:val="009A2DF5"/>
    <w:rsid w:val="009A6A8C"/>
    <w:rsid w:val="009B1973"/>
    <w:rsid w:val="009B25D9"/>
    <w:rsid w:val="009B6BC0"/>
    <w:rsid w:val="009C27CF"/>
    <w:rsid w:val="009C6D96"/>
    <w:rsid w:val="009D5647"/>
    <w:rsid w:val="009E3A4A"/>
    <w:rsid w:val="009F02AC"/>
    <w:rsid w:val="009F060A"/>
    <w:rsid w:val="009F2417"/>
    <w:rsid w:val="009F48FC"/>
    <w:rsid w:val="009F6368"/>
    <w:rsid w:val="00A0122F"/>
    <w:rsid w:val="00A053E4"/>
    <w:rsid w:val="00A114B1"/>
    <w:rsid w:val="00A15305"/>
    <w:rsid w:val="00A22603"/>
    <w:rsid w:val="00A30251"/>
    <w:rsid w:val="00A33CB2"/>
    <w:rsid w:val="00A350DF"/>
    <w:rsid w:val="00A3723B"/>
    <w:rsid w:val="00A44C93"/>
    <w:rsid w:val="00A53713"/>
    <w:rsid w:val="00A57055"/>
    <w:rsid w:val="00A6417E"/>
    <w:rsid w:val="00A72929"/>
    <w:rsid w:val="00A86B26"/>
    <w:rsid w:val="00A91698"/>
    <w:rsid w:val="00A92683"/>
    <w:rsid w:val="00A93998"/>
    <w:rsid w:val="00A9721A"/>
    <w:rsid w:val="00A977D9"/>
    <w:rsid w:val="00AA00A6"/>
    <w:rsid w:val="00AB13AA"/>
    <w:rsid w:val="00AB4704"/>
    <w:rsid w:val="00AC0F36"/>
    <w:rsid w:val="00AC1C7D"/>
    <w:rsid w:val="00AC5AF0"/>
    <w:rsid w:val="00AD42C3"/>
    <w:rsid w:val="00AE246E"/>
    <w:rsid w:val="00AE305E"/>
    <w:rsid w:val="00AE3956"/>
    <w:rsid w:val="00AE42B4"/>
    <w:rsid w:val="00AF5404"/>
    <w:rsid w:val="00AF5D1A"/>
    <w:rsid w:val="00AF6481"/>
    <w:rsid w:val="00B061AA"/>
    <w:rsid w:val="00B158A2"/>
    <w:rsid w:val="00B158C5"/>
    <w:rsid w:val="00B16806"/>
    <w:rsid w:val="00B24DBF"/>
    <w:rsid w:val="00B27CDB"/>
    <w:rsid w:val="00B334FE"/>
    <w:rsid w:val="00B51B81"/>
    <w:rsid w:val="00B62FF8"/>
    <w:rsid w:val="00B65944"/>
    <w:rsid w:val="00B702C6"/>
    <w:rsid w:val="00B72DD7"/>
    <w:rsid w:val="00B74B66"/>
    <w:rsid w:val="00B76264"/>
    <w:rsid w:val="00B86995"/>
    <w:rsid w:val="00B958FA"/>
    <w:rsid w:val="00B96387"/>
    <w:rsid w:val="00BA04C0"/>
    <w:rsid w:val="00BA202B"/>
    <w:rsid w:val="00BA7E7E"/>
    <w:rsid w:val="00BB76DD"/>
    <w:rsid w:val="00BD5660"/>
    <w:rsid w:val="00BD6E41"/>
    <w:rsid w:val="00BE3886"/>
    <w:rsid w:val="00BF472C"/>
    <w:rsid w:val="00BF58B3"/>
    <w:rsid w:val="00C01244"/>
    <w:rsid w:val="00C07535"/>
    <w:rsid w:val="00C10DFD"/>
    <w:rsid w:val="00C142F0"/>
    <w:rsid w:val="00C2194F"/>
    <w:rsid w:val="00C31041"/>
    <w:rsid w:val="00C32438"/>
    <w:rsid w:val="00C55514"/>
    <w:rsid w:val="00C567C0"/>
    <w:rsid w:val="00C62190"/>
    <w:rsid w:val="00C72D6D"/>
    <w:rsid w:val="00C85FF7"/>
    <w:rsid w:val="00C941A6"/>
    <w:rsid w:val="00CA34B4"/>
    <w:rsid w:val="00CA62B1"/>
    <w:rsid w:val="00CB1172"/>
    <w:rsid w:val="00CB22E2"/>
    <w:rsid w:val="00CB5679"/>
    <w:rsid w:val="00CC69D8"/>
    <w:rsid w:val="00CD036C"/>
    <w:rsid w:val="00CD094C"/>
    <w:rsid w:val="00CD3521"/>
    <w:rsid w:val="00CD5957"/>
    <w:rsid w:val="00CE2B76"/>
    <w:rsid w:val="00CE32C4"/>
    <w:rsid w:val="00CF420C"/>
    <w:rsid w:val="00CF5486"/>
    <w:rsid w:val="00D00456"/>
    <w:rsid w:val="00D0087D"/>
    <w:rsid w:val="00D02729"/>
    <w:rsid w:val="00D02D8E"/>
    <w:rsid w:val="00D2084A"/>
    <w:rsid w:val="00D20BAD"/>
    <w:rsid w:val="00D20E4D"/>
    <w:rsid w:val="00D2491A"/>
    <w:rsid w:val="00D34680"/>
    <w:rsid w:val="00D37F7E"/>
    <w:rsid w:val="00D41E36"/>
    <w:rsid w:val="00D510FE"/>
    <w:rsid w:val="00D51E1B"/>
    <w:rsid w:val="00D52256"/>
    <w:rsid w:val="00D81D35"/>
    <w:rsid w:val="00D83D6D"/>
    <w:rsid w:val="00D92162"/>
    <w:rsid w:val="00DA7828"/>
    <w:rsid w:val="00DB4B3A"/>
    <w:rsid w:val="00DB5EB8"/>
    <w:rsid w:val="00DC591C"/>
    <w:rsid w:val="00DE6ADF"/>
    <w:rsid w:val="00DF2531"/>
    <w:rsid w:val="00DF754D"/>
    <w:rsid w:val="00E029B7"/>
    <w:rsid w:val="00E1056E"/>
    <w:rsid w:val="00E1056F"/>
    <w:rsid w:val="00E106D5"/>
    <w:rsid w:val="00E21808"/>
    <w:rsid w:val="00E30030"/>
    <w:rsid w:val="00E346BC"/>
    <w:rsid w:val="00E41037"/>
    <w:rsid w:val="00E42C13"/>
    <w:rsid w:val="00E42EA4"/>
    <w:rsid w:val="00E43145"/>
    <w:rsid w:val="00E448A9"/>
    <w:rsid w:val="00E44DFB"/>
    <w:rsid w:val="00E45477"/>
    <w:rsid w:val="00E5083B"/>
    <w:rsid w:val="00E72E45"/>
    <w:rsid w:val="00E75621"/>
    <w:rsid w:val="00E84446"/>
    <w:rsid w:val="00E85CE2"/>
    <w:rsid w:val="00EB0443"/>
    <w:rsid w:val="00EB5FA2"/>
    <w:rsid w:val="00EC6610"/>
    <w:rsid w:val="00ED2E84"/>
    <w:rsid w:val="00EE2030"/>
    <w:rsid w:val="00EE6DA9"/>
    <w:rsid w:val="00EE7867"/>
    <w:rsid w:val="00EE7C03"/>
    <w:rsid w:val="00EF3922"/>
    <w:rsid w:val="00F05594"/>
    <w:rsid w:val="00F15D28"/>
    <w:rsid w:val="00F35E13"/>
    <w:rsid w:val="00F47CF9"/>
    <w:rsid w:val="00F52121"/>
    <w:rsid w:val="00F53459"/>
    <w:rsid w:val="00F60027"/>
    <w:rsid w:val="00F632C1"/>
    <w:rsid w:val="00F73B03"/>
    <w:rsid w:val="00F75ED5"/>
    <w:rsid w:val="00F77214"/>
    <w:rsid w:val="00FB120B"/>
    <w:rsid w:val="00FB2680"/>
    <w:rsid w:val="00FC732F"/>
    <w:rsid w:val="00FD11CD"/>
    <w:rsid w:val="00FD23B4"/>
    <w:rsid w:val="00FD460F"/>
    <w:rsid w:val="00FD578D"/>
    <w:rsid w:val="00FE0595"/>
    <w:rsid w:val="00FE71DD"/>
    <w:rsid w:val="00FE7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7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86"/>
    <w:pPr>
      <w:spacing w:before="120" w:after="120" w:line="314" w:lineRule="auto"/>
      <w:ind w:left="725" w:right="272" w:hanging="11"/>
    </w:pPr>
    <w:rPr>
      <w:rFonts w:ascii="Times New Roman" w:eastAsia="Times New Roman" w:hAnsi="Times New Roman" w:cs="Times New Roman"/>
      <w:color w:val="333333"/>
    </w:rPr>
  </w:style>
  <w:style w:type="paragraph" w:styleId="Heading1">
    <w:name w:val="heading 1"/>
    <w:next w:val="Normal"/>
    <w:link w:val="Heading1Char"/>
    <w:uiPriority w:val="9"/>
    <w:unhideWhenUsed/>
    <w:qFormat/>
    <w:rsid w:val="00E42EA4"/>
    <w:pPr>
      <w:keepNext/>
      <w:keepLines/>
      <w:spacing w:before="240" w:after="120"/>
      <w:ind w:left="873" w:hanging="11"/>
      <w:outlineLvl w:val="0"/>
    </w:pPr>
    <w:rPr>
      <w:rFonts w:ascii="Times New Roman" w:eastAsia="Times New Roman" w:hAnsi="Times New Roman" w:cs="Times New Roman"/>
      <w:b/>
      <w:color w:val="6A6968"/>
      <w:sz w:val="36"/>
      <w:szCs w:val="36"/>
    </w:rPr>
  </w:style>
  <w:style w:type="paragraph" w:styleId="Heading2">
    <w:name w:val="heading 2"/>
    <w:next w:val="Normal"/>
    <w:link w:val="Heading2Char"/>
    <w:uiPriority w:val="9"/>
    <w:unhideWhenUsed/>
    <w:qFormat/>
    <w:rsid w:val="003B7BF0"/>
    <w:pPr>
      <w:keepNext/>
      <w:keepLines/>
      <w:pBdr>
        <w:left w:val="single" w:sz="6" w:space="0" w:color="DDDDDD"/>
        <w:bottom w:val="single" w:sz="6" w:space="0" w:color="DDDDDD"/>
        <w:right w:val="single" w:sz="6" w:space="0" w:color="DDDDDD"/>
      </w:pBdr>
      <w:spacing w:before="200" w:after="120" w:line="250" w:lineRule="auto"/>
      <w:ind w:right="249" w:hanging="11"/>
      <w:outlineLvl w:val="1"/>
    </w:pPr>
    <w:rPr>
      <w:rFonts w:ascii="Georgia" w:eastAsia="Times New Roman" w:hAnsi="Georgia" w:cs="Times New Roman"/>
      <w:color w:val="00B0F0"/>
      <w:sz w:val="28"/>
      <w:szCs w:val="28"/>
      <w:u w:color="000000"/>
    </w:rPr>
  </w:style>
  <w:style w:type="paragraph" w:styleId="Heading3">
    <w:name w:val="heading 3"/>
    <w:basedOn w:val="Normal"/>
    <w:next w:val="Normal"/>
    <w:link w:val="Heading3Char"/>
    <w:uiPriority w:val="9"/>
    <w:unhideWhenUsed/>
    <w:qFormat/>
    <w:rsid w:val="0036652A"/>
    <w:pPr>
      <w:keepNext/>
      <w:keepLines/>
      <w:spacing w:after="60"/>
      <w:outlineLvl w:val="2"/>
    </w:pPr>
    <w:rPr>
      <w:rFonts w:ascii="Georgia" w:eastAsiaTheme="majorEastAsia" w:hAnsi="Georg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629E4"/>
    <w:pPr>
      <w:keepNext/>
      <w:keepLines/>
      <w:spacing w:after="0"/>
      <w:outlineLvl w:val="3"/>
    </w:pPr>
    <w:rPr>
      <w:rFonts w:ascii="Georgia" w:eastAsiaTheme="majorEastAsia" w:hAnsi="Georgia"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B7BF0"/>
    <w:rPr>
      <w:rFonts w:ascii="Georgia" w:eastAsia="Times New Roman" w:hAnsi="Georgia" w:cs="Times New Roman"/>
      <w:color w:val="00B0F0"/>
      <w:sz w:val="28"/>
      <w:szCs w:val="28"/>
      <w:u w:color="000000"/>
    </w:rPr>
  </w:style>
  <w:style w:type="character" w:customStyle="1" w:styleId="Heading1Char">
    <w:name w:val="Heading 1 Char"/>
    <w:link w:val="Heading1"/>
    <w:uiPriority w:val="9"/>
    <w:rsid w:val="00E42EA4"/>
    <w:rPr>
      <w:rFonts w:ascii="Times New Roman" w:eastAsia="Times New Roman" w:hAnsi="Times New Roman" w:cs="Times New Roman"/>
      <w:b/>
      <w:color w:val="6A6968"/>
      <w:sz w:val="36"/>
      <w:szCs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C10DF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10DF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1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DFD"/>
    <w:rPr>
      <w:rFonts w:ascii="Segoe UI" w:eastAsia="Times New Roman" w:hAnsi="Segoe UI" w:cs="Segoe UI"/>
      <w:color w:val="333333"/>
      <w:sz w:val="18"/>
      <w:szCs w:val="18"/>
    </w:rPr>
  </w:style>
  <w:style w:type="character" w:customStyle="1" w:styleId="Heading3Char">
    <w:name w:val="Heading 3 Char"/>
    <w:basedOn w:val="DefaultParagraphFont"/>
    <w:link w:val="Heading3"/>
    <w:uiPriority w:val="9"/>
    <w:rsid w:val="0036652A"/>
    <w:rPr>
      <w:rFonts w:ascii="Georgia" w:eastAsiaTheme="majorEastAsia" w:hAnsi="Georgia" w:cstheme="majorBidi"/>
      <w:color w:val="1F4D78" w:themeColor="accent1" w:themeShade="7F"/>
      <w:sz w:val="24"/>
      <w:szCs w:val="24"/>
    </w:rPr>
  </w:style>
  <w:style w:type="character" w:styleId="Hyperlink">
    <w:name w:val="Hyperlink"/>
    <w:basedOn w:val="DefaultParagraphFont"/>
    <w:uiPriority w:val="99"/>
    <w:unhideWhenUsed/>
    <w:rsid w:val="00A33CB2"/>
    <w:rPr>
      <w:color w:val="0563C1" w:themeColor="hyperlink"/>
      <w:u w:val="single"/>
    </w:rPr>
  </w:style>
  <w:style w:type="paragraph" w:styleId="ListParagraph">
    <w:name w:val="List Paragraph"/>
    <w:basedOn w:val="Normal"/>
    <w:uiPriority w:val="34"/>
    <w:qFormat/>
    <w:rsid w:val="003C2290"/>
    <w:pPr>
      <w:ind w:left="720"/>
      <w:contextualSpacing/>
    </w:pPr>
  </w:style>
  <w:style w:type="character" w:styleId="CommentReference">
    <w:name w:val="annotation reference"/>
    <w:basedOn w:val="DefaultParagraphFont"/>
    <w:uiPriority w:val="99"/>
    <w:unhideWhenUsed/>
    <w:rsid w:val="003B4868"/>
    <w:rPr>
      <w:sz w:val="16"/>
      <w:szCs w:val="16"/>
    </w:rPr>
  </w:style>
  <w:style w:type="paragraph" w:styleId="CommentText">
    <w:name w:val="annotation text"/>
    <w:basedOn w:val="Normal"/>
    <w:link w:val="CommentTextChar"/>
    <w:uiPriority w:val="99"/>
    <w:unhideWhenUsed/>
    <w:rsid w:val="003B4868"/>
    <w:pPr>
      <w:spacing w:line="240" w:lineRule="auto"/>
    </w:pPr>
    <w:rPr>
      <w:sz w:val="20"/>
      <w:szCs w:val="20"/>
    </w:rPr>
  </w:style>
  <w:style w:type="character" w:customStyle="1" w:styleId="CommentTextChar">
    <w:name w:val="Comment Text Char"/>
    <w:basedOn w:val="DefaultParagraphFont"/>
    <w:link w:val="CommentText"/>
    <w:uiPriority w:val="99"/>
    <w:rsid w:val="003B4868"/>
    <w:rPr>
      <w:rFonts w:ascii="Times New Roman" w:eastAsia="Times New Roman" w:hAnsi="Times New Roman"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3B4868"/>
    <w:rPr>
      <w:b/>
      <w:bCs/>
    </w:rPr>
  </w:style>
  <w:style w:type="character" w:customStyle="1" w:styleId="CommentSubjectChar">
    <w:name w:val="Comment Subject Char"/>
    <w:basedOn w:val="CommentTextChar"/>
    <w:link w:val="CommentSubject"/>
    <w:uiPriority w:val="99"/>
    <w:semiHidden/>
    <w:rsid w:val="003B4868"/>
    <w:rPr>
      <w:rFonts w:ascii="Times New Roman" w:eastAsia="Times New Roman" w:hAnsi="Times New Roman" w:cs="Times New Roman"/>
      <w:b/>
      <w:bCs/>
      <w:color w:val="333333"/>
      <w:sz w:val="20"/>
      <w:szCs w:val="20"/>
    </w:rPr>
  </w:style>
  <w:style w:type="paragraph" w:styleId="Revision">
    <w:name w:val="Revision"/>
    <w:hidden/>
    <w:uiPriority w:val="99"/>
    <w:semiHidden/>
    <w:rsid w:val="003B4868"/>
    <w:pPr>
      <w:spacing w:after="0" w:line="240" w:lineRule="auto"/>
    </w:pPr>
    <w:rPr>
      <w:rFonts w:ascii="Times New Roman" w:eastAsia="Times New Roman" w:hAnsi="Times New Roman" w:cs="Times New Roman"/>
      <w:color w:val="333333"/>
    </w:rPr>
  </w:style>
  <w:style w:type="table" w:styleId="TableGrid0">
    <w:name w:val="Table Grid"/>
    <w:basedOn w:val="TableNormal"/>
    <w:uiPriority w:val="39"/>
    <w:rsid w:val="0026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PTablecaption">
    <w:name w:val="PIP Table caption"/>
    <w:basedOn w:val="Normal"/>
    <w:qFormat/>
    <w:rsid w:val="0028424A"/>
    <w:pPr>
      <w:spacing w:after="0" w:line="240" w:lineRule="auto"/>
      <w:ind w:left="11" w:right="448"/>
    </w:pPr>
    <w:rPr>
      <w:rFonts w:asciiTheme="minorHAnsi" w:eastAsia="Calibri" w:hAnsiTheme="minorHAnsi" w:cs="Calibri"/>
      <w:b/>
      <w:color w:val="auto"/>
    </w:rPr>
  </w:style>
  <w:style w:type="paragraph" w:customStyle="1" w:styleId="PNIPbullets">
    <w:name w:val="PNIP bullets"/>
    <w:basedOn w:val="ListParagraph"/>
    <w:qFormat/>
    <w:rsid w:val="00D34680"/>
    <w:pPr>
      <w:numPr>
        <w:numId w:val="2"/>
      </w:numPr>
      <w:spacing w:before="0" w:after="7"/>
      <w:ind w:right="663"/>
    </w:pPr>
  </w:style>
  <w:style w:type="paragraph" w:customStyle="1" w:styleId="bullets">
    <w:name w:val="bullets"/>
    <w:basedOn w:val="Normal"/>
    <w:rsid w:val="00063450"/>
    <w:pPr>
      <w:widowControl w:val="0"/>
      <w:suppressAutoHyphens/>
      <w:autoSpaceDE w:val="0"/>
      <w:autoSpaceDN w:val="0"/>
      <w:adjustRightInd w:val="0"/>
      <w:spacing w:before="57" w:after="113" w:line="240" w:lineRule="atLeast"/>
      <w:ind w:left="840" w:right="0" w:hanging="260"/>
      <w:textAlignment w:val="center"/>
    </w:pPr>
    <w:rPr>
      <w:rFonts w:ascii="HelveticaNeue-LightCond" w:eastAsia="MS Mincho" w:hAnsi="HelveticaNeue-LightCond" w:cs="HelveticaNeue-LightCond"/>
      <w:b/>
      <w:bCs/>
      <w:color w:val="000000"/>
      <w:sz w:val="20"/>
      <w:szCs w:val="20"/>
      <w:lang w:val="en-GB" w:eastAsia="en-US"/>
    </w:rPr>
  </w:style>
  <w:style w:type="paragraph" w:customStyle="1" w:styleId="tablebody">
    <w:name w:val="table body"/>
    <w:basedOn w:val="Normal"/>
    <w:rsid w:val="00063450"/>
    <w:pPr>
      <w:widowControl w:val="0"/>
      <w:suppressAutoHyphens/>
      <w:autoSpaceDE w:val="0"/>
      <w:autoSpaceDN w:val="0"/>
      <w:adjustRightInd w:val="0"/>
      <w:spacing w:before="57" w:after="113" w:line="240" w:lineRule="atLeast"/>
      <w:ind w:left="0" w:right="0" w:firstLine="0"/>
      <w:textAlignment w:val="center"/>
    </w:pPr>
    <w:rPr>
      <w:rFonts w:ascii="HelveticaNeue-LightCond" w:eastAsia="MS Mincho" w:hAnsi="HelveticaNeue-LightCond" w:cs="HelveticaNeue-LightCond"/>
      <w:b/>
      <w:bCs/>
      <w:color w:val="000000"/>
      <w:sz w:val="20"/>
      <w:szCs w:val="20"/>
      <w:lang w:val="en-GB" w:eastAsia="en-US"/>
    </w:rPr>
  </w:style>
  <w:style w:type="paragraph" w:customStyle="1" w:styleId="body">
    <w:name w:val="body"/>
    <w:basedOn w:val="Normal"/>
    <w:rsid w:val="00AE305E"/>
    <w:pPr>
      <w:widowControl w:val="0"/>
      <w:suppressAutoHyphens/>
      <w:autoSpaceDE w:val="0"/>
      <w:autoSpaceDN w:val="0"/>
      <w:adjustRightInd w:val="0"/>
      <w:spacing w:before="57" w:after="113" w:line="240" w:lineRule="atLeast"/>
      <w:ind w:left="0" w:right="0" w:firstLine="0"/>
      <w:textAlignment w:val="center"/>
    </w:pPr>
    <w:rPr>
      <w:rFonts w:ascii="HelveticaNeue-LightCond" w:eastAsia="MS Mincho" w:hAnsi="HelveticaNeue-LightCond" w:cs="HelveticaNeue-LightCond"/>
      <w:b/>
      <w:bCs/>
      <w:color w:val="000000"/>
      <w:sz w:val="20"/>
      <w:szCs w:val="20"/>
      <w:lang w:val="en-GB" w:eastAsia="en-US"/>
    </w:rPr>
  </w:style>
  <w:style w:type="character" w:customStyle="1" w:styleId="Heading4Char">
    <w:name w:val="Heading 4 Char"/>
    <w:basedOn w:val="DefaultParagraphFont"/>
    <w:link w:val="Heading4"/>
    <w:uiPriority w:val="9"/>
    <w:rsid w:val="004629E4"/>
    <w:rPr>
      <w:rFonts w:ascii="Georgia" w:eastAsiaTheme="majorEastAsia" w:hAnsi="Georgia" w:cstheme="majorBidi"/>
      <w:i/>
      <w:iCs/>
      <w:color w:val="2E74B5" w:themeColor="accent1" w:themeShade="BF"/>
      <w:lang w:val="en-US"/>
    </w:rPr>
  </w:style>
  <w:style w:type="character" w:styleId="Emphasis">
    <w:name w:val="Emphasis"/>
    <w:basedOn w:val="DefaultParagraphFont"/>
    <w:uiPriority w:val="20"/>
    <w:qFormat/>
    <w:rsid w:val="0020670E"/>
    <w:rPr>
      <w:i/>
      <w:iCs/>
    </w:rPr>
  </w:style>
  <w:style w:type="paragraph" w:styleId="Quote">
    <w:name w:val="Quote"/>
    <w:basedOn w:val="Normal"/>
    <w:next w:val="Normal"/>
    <w:link w:val="QuoteChar"/>
    <w:uiPriority w:val="29"/>
    <w:qFormat/>
    <w:rsid w:val="00322295"/>
    <w:pPr>
      <w:spacing w:before="200" w:after="160"/>
      <w:ind w:left="1145" w:right="862"/>
      <w:jc w:val="center"/>
    </w:pPr>
    <w:rPr>
      <w:i/>
      <w:iCs/>
      <w:color w:val="404040" w:themeColor="text1" w:themeTint="BF"/>
    </w:rPr>
  </w:style>
  <w:style w:type="character" w:customStyle="1" w:styleId="QuoteChar">
    <w:name w:val="Quote Char"/>
    <w:basedOn w:val="DefaultParagraphFont"/>
    <w:link w:val="Quote"/>
    <w:uiPriority w:val="29"/>
    <w:rsid w:val="00322295"/>
    <w:rPr>
      <w:rFonts w:ascii="Times New Roman" w:eastAsia="Times New Roman" w:hAnsi="Times New Roman" w:cs="Times New Roman"/>
      <w:i/>
      <w:iCs/>
      <w:color w:val="404040" w:themeColor="text1" w:themeTint="BF"/>
    </w:rPr>
  </w:style>
  <w:style w:type="paragraph" w:customStyle="1" w:styleId="tablehead">
    <w:name w:val="table head"/>
    <w:basedOn w:val="Normal"/>
    <w:rsid w:val="00865268"/>
    <w:pPr>
      <w:widowControl w:val="0"/>
      <w:suppressAutoHyphens/>
      <w:autoSpaceDE w:val="0"/>
      <w:autoSpaceDN w:val="0"/>
      <w:adjustRightInd w:val="0"/>
      <w:spacing w:before="57" w:after="113" w:line="240" w:lineRule="atLeast"/>
      <w:ind w:left="0" w:right="0" w:firstLine="0"/>
      <w:textAlignment w:val="center"/>
    </w:pPr>
    <w:rPr>
      <w:rFonts w:ascii="HelveticaNeue-MediumCond" w:eastAsia="MS Mincho" w:hAnsi="HelveticaNeue-MediumCond" w:cs="HelveticaNeue-MediumCond"/>
      <w:b/>
      <w:bCs/>
      <w:color w:val="FFFFFF"/>
      <w:sz w:val="20"/>
      <w:szCs w:val="20"/>
      <w:lang w:val="en-GB" w:eastAsia="en-US"/>
    </w:rPr>
  </w:style>
  <w:style w:type="character" w:styleId="FollowedHyperlink">
    <w:name w:val="FollowedHyperlink"/>
    <w:basedOn w:val="DefaultParagraphFont"/>
    <w:uiPriority w:val="99"/>
    <w:semiHidden/>
    <w:unhideWhenUsed/>
    <w:rsid w:val="00034F2A"/>
    <w:rPr>
      <w:color w:val="954F72" w:themeColor="followedHyperlink"/>
      <w:u w:val="single"/>
    </w:rPr>
  </w:style>
  <w:style w:type="paragraph" w:customStyle="1" w:styleId="h1title">
    <w:name w:val="h1 title"/>
    <w:basedOn w:val="Normal"/>
    <w:rsid w:val="006912E5"/>
    <w:pPr>
      <w:widowControl w:val="0"/>
      <w:suppressAutoHyphens/>
      <w:autoSpaceDE w:val="0"/>
      <w:autoSpaceDN w:val="0"/>
      <w:adjustRightInd w:val="0"/>
      <w:spacing w:before="57" w:after="227" w:line="288" w:lineRule="auto"/>
      <w:ind w:left="0" w:right="0" w:firstLine="0"/>
      <w:textAlignment w:val="center"/>
    </w:pPr>
    <w:rPr>
      <w:rFonts w:ascii="HelveticaNeue-HeavyCond" w:eastAsia="MS Mincho" w:hAnsi="HelveticaNeue-HeavyCond" w:cs="HelveticaNeue-HeavyCond"/>
      <w:color w:val="000000"/>
      <w:sz w:val="42"/>
      <w:szCs w:val="42"/>
      <w:lang w:val="en-GB" w:eastAsia="en-US"/>
    </w:rPr>
  </w:style>
  <w:style w:type="paragraph" w:styleId="TOC1">
    <w:name w:val="toc 1"/>
    <w:basedOn w:val="Normal"/>
    <w:next w:val="Normal"/>
    <w:autoRedefine/>
    <w:uiPriority w:val="39"/>
    <w:rsid w:val="006912E5"/>
    <w:pPr>
      <w:spacing w:before="240"/>
      <w:ind w:left="0"/>
    </w:pPr>
    <w:rPr>
      <w:rFonts w:asciiTheme="minorHAnsi" w:hAnsiTheme="minorHAnsi"/>
      <w:b/>
      <w:bCs/>
      <w:sz w:val="20"/>
      <w:szCs w:val="20"/>
    </w:rPr>
  </w:style>
  <w:style w:type="paragraph" w:styleId="TOC2">
    <w:name w:val="toc 2"/>
    <w:basedOn w:val="Normal"/>
    <w:next w:val="Normal"/>
    <w:autoRedefine/>
    <w:uiPriority w:val="39"/>
    <w:unhideWhenUsed/>
    <w:rsid w:val="006912E5"/>
    <w:pPr>
      <w:spacing w:after="0"/>
      <w:ind w:left="220"/>
    </w:pPr>
    <w:rPr>
      <w:rFonts w:asciiTheme="minorHAnsi" w:hAnsiTheme="minorHAnsi"/>
      <w:i/>
      <w:iCs/>
      <w:sz w:val="20"/>
      <w:szCs w:val="20"/>
    </w:rPr>
  </w:style>
  <w:style w:type="paragraph" w:styleId="TOC3">
    <w:name w:val="toc 3"/>
    <w:basedOn w:val="Normal"/>
    <w:next w:val="Normal"/>
    <w:autoRedefine/>
    <w:uiPriority w:val="39"/>
    <w:unhideWhenUsed/>
    <w:rsid w:val="009B25D9"/>
    <w:pPr>
      <w:spacing w:before="0" w:after="0"/>
      <w:ind w:left="440"/>
    </w:pPr>
    <w:rPr>
      <w:rFonts w:asciiTheme="minorHAnsi" w:hAnsiTheme="minorHAnsi"/>
      <w:sz w:val="20"/>
      <w:szCs w:val="20"/>
    </w:rPr>
  </w:style>
  <w:style w:type="paragraph" w:customStyle="1" w:styleId="H2">
    <w:name w:val="H2"/>
    <w:basedOn w:val="Normal"/>
    <w:rsid w:val="00535548"/>
    <w:pPr>
      <w:widowControl w:val="0"/>
      <w:suppressAutoHyphens/>
      <w:autoSpaceDE w:val="0"/>
      <w:autoSpaceDN w:val="0"/>
      <w:adjustRightInd w:val="0"/>
      <w:spacing w:before="57" w:after="57" w:line="288" w:lineRule="auto"/>
      <w:ind w:left="0" w:right="0" w:firstLine="0"/>
      <w:textAlignment w:val="center"/>
    </w:pPr>
    <w:rPr>
      <w:rFonts w:ascii="HelveticaNeue-BoldCond" w:eastAsia="MS Mincho" w:hAnsi="HelveticaNeue-BoldCond" w:cs="HelveticaNeue-BoldCond"/>
      <w:b/>
      <w:bCs/>
      <w:color w:val="000000"/>
      <w:lang w:val="en-GB" w:eastAsia="en-US"/>
    </w:rPr>
  </w:style>
  <w:style w:type="paragraph" w:styleId="NormalWeb">
    <w:name w:val="Normal (Web)"/>
    <w:basedOn w:val="Normal"/>
    <w:uiPriority w:val="99"/>
    <w:rsid w:val="004A1582"/>
    <w:pPr>
      <w:spacing w:before="0" w:after="240" w:line="360" w:lineRule="atLeast"/>
      <w:ind w:left="0" w:right="0" w:firstLine="0"/>
    </w:pPr>
    <w:rPr>
      <w:rFonts w:eastAsia="MS Mincho"/>
      <w:color w:val="46484B"/>
      <w:sz w:val="24"/>
      <w:szCs w:val="24"/>
      <w:lang w:val="en-US" w:eastAsia="en-US"/>
    </w:rPr>
  </w:style>
  <w:style w:type="paragraph" w:customStyle="1" w:styleId="H1">
    <w:name w:val="H1"/>
    <w:basedOn w:val="Normal"/>
    <w:rsid w:val="00CA62B1"/>
    <w:pPr>
      <w:widowControl w:val="0"/>
      <w:suppressAutoHyphens/>
      <w:autoSpaceDE w:val="0"/>
      <w:autoSpaceDN w:val="0"/>
      <w:adjustRightInd w:val="0"/>
      <w:spacing w:before="57" w:after="227" w:line="288" w:lineRule="auto"/>
      <w:ind w:left="0" w:right="0" w:firstLine="0"/>
      <w:textAlignment w:val="center"/>
    </w:pPr>
    <w:rPr>
      <w:rFonts w:ascii="HelveticaNeue-HeavyCond" w:eastAsia="MS Mincho" w:hAnsi="HelveticaNeue-HeavyCond" w:cs="HelveticaNeue-HeavyCond"/>
      <w:color w:val="000000"/>
      <w:sz w:val="30"/>
      <w:szCs w:val="30"/>
      <w:lang w:val="en-GB" w:eastAsia="en-US"/>
    </w:rPr>
  </w:style>
  <w:style w:type="paragraph" w:customStyle="1" w:styleId="h3">
    <w:name w:val="h3"/>
    <w:basedOn w:val="Normal"/>
    <w:rsid w:val="00CD5957"/>
    <w:pPr>
      <w:widowControl w:val="0"/>
      <w:suppressAutoHyphens/>
      <w:autoSpaceDE w:val="0"/>
      <w:autoSpaceDN w:val="0"/>
      <w:adjustRightInd w:val="0"/>
      <w:spacing w:before="57" w:after="57" w:line="288" w:lineRule="auto"/>
      <w:ind w:left="0" w:right="0" w:firstLine="0"/>
      <w:textAlignment w:val="center"/>
    </w:pPr>
    <w:rPr>
      <w:rFonts w:ascii="HelveticaNeue-MediumCond" w:eastAsia="MS Mincho" w:hAnsi="HelveticaNeue-MediumCond" w:cs="HelveticaNeue-MediumCond"/>
      <w:b/>
      <w:bCs/>
      <w:color w:val="000000"/>
      <w:sz w:val="24"/>
      <w:szCs w:val="24"/>
      <w:lang w:val="en-GB" w:eastAsia="en-US"/>
    </w:rPr>
  </w:style>
  <w:style w:type="paragraph" w:customStyle="1" w:styleId="numberedlist">
    <w:name w:val="numbered list"/>
    <w:basedOn w:val="body"/>
    <w:rsid w:val="00CD5957"/>
    <w:pPr>
      <w:tabs>
        <w:tab w:val="left" w:pos="240"/>
      </w:tabs>
    </w:pPr>
    <w:rPr>
      <w:rFonts w:ascii="HelveticaNeue-MediumCond" w:hAnsi="HelveticaNeue-MediumCond" w:cs="HelveticaNeue-MediumCond"/>
    </w:rPr>
  </w:style>
  <w:style w:type="paragraph" w:customStyle="1" w:styleId="BlockTextleft">
    <w:name w:val="Block Text (left)"/>
    <w:rsid w:val="008610A2"/>
    <w:pPr>
      <w:spacing w:before="80" w:after="40" w:line="240" w:lineRule="auto"/>
    </w:pPr>
    <w:rPr>
      <w:rFonts w:ascii="Verdana" w:eastAsia="Times New Roman" w:hAnsi="Verdana" w:cs="Times New Roman"/>
      <w:sz w:val="18"/>
      <w:szCs w:val="20"/>
      <w:lang w:eastAsia="en-US"/>
    </w:rPr>
  </w:style>
  <w:style w:type="paragraph" w:styleId="TOCHeading">
    <w:name w:val="TOC Heading"/>
    <w:basedOn w:val="Heading1"/>
    <w:next w:val="Normal"/>
    <w:uiPriority w:val="39"/>
    <w:unhideWhenUsed/>
    <w:qFormat/>
    <w:rsid w:val="000F3B55"/>
    <w:pPr>
      <w:spacing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Header">
    <w:name w:val="header"/>
    <w:basedOn w:val="Normal"/>
    <w:link w:val="HeaderChar"/>
    <w:uiPriority w:val="99"/>
    <w:unhideWhenUsed/>
    <w:rsid w:val="00495F8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95F85"/>
    <w:rPr>
      <w:rFonts w:ascii="Times New Roman" w:eastAsia="Times New Roman" w:hAnsi="Times New Roman" w:cs="Times New Roman"/>
      <w:color w:val="333333"/>
    </w:rPr>
  </w:style>
  <w:style w:type="paragraph" w:styleId="Footer">
    <w:name w:val="footer"/>
    <w:basedOn w:val="Normal"/>
    <w:link w:val="FooterChar"/>
    <w:uiPriority w:val="99"/>
    <w:unhideWhenUsed/>
    <w:rsid w:val="00495F8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95F85"/>
    <w:rPr>
      <w:rFonts w:ascii="Times New Roman" w:eastAsia="Times New Roman" w:hAnsi="Times New Roman" w:cs="Times New Roman"/>
      <w:color w:val="333333"/>
    </w:rPr>
  </w:style>
  <w:style w:type="paragraph" w:customStyle="1" w:styleId="01bodytext">
    <w:name w:val="01 body text"/>
    <w:basedOn w:val="Normal"/>
    <w:uiPriority w:val="99"/>
    <w:rsid w:val="009B6BC0"/>
    <w:pPr>
      <w:spacing w:after="200" w:line="290" w:lineRule="atLeast"/>
      <w:ind w:left="0" w:right="0" w:firstLine="0"/>
    </w:pPr>
    <w:rPr>
      <w:rFonts w:eastAsiaTheme="minorHAnsi"/>
      <w:color w:val="000000"/>
      <w:sz w:val="24"/>
      <w:szCs w:val="24"/>
      <w:lang w:eastAsia="en-US"/>
    </w:rPr>
  </w:style>
  <w:style w:type="paragraph" w:customStyle="1" w:styleId="01bullet1">
    <w:name w:val="01 bullet 1"/>
    <w:basedOn w:val="Normal"/>
    <w:uiPriority w:val="99"/>
    <w:rsid w:val="009B6BC0"/>
    <w:pPr>
      <w:spacing w:before="0" w:after="200" w:line="290" w:lineRule="atLeast"/>
      <w:ind w:left="227" w:right="0" w:hanging="227"/>
    </w:pPr>
    <w:rPr>
      <w:rFonts w:eastAsiaTheme="minorHAnsi"/>
      <w:color w:val="000000"/>
      <w:sz w:val="24"/>
      <w:szCs w:val="24"/>
      <w:lang w:eastAsia="en-US"/>
    </w:rPr>
  </w:style>
  <w:style w:type="paragraph" w:customStyle="1" w:styleId="02Subhead2">
    <w:name w:val="02 Subhead 2"/>
    <w:basedOn w:val="Normal"/>
    <w:uiPriority w:val="99"/>
    <w:rsid w:val="00905593"/>
    <w:pPr>
      <w:keepNext/>
      <w:spacing w:before="240" w:after="200" w:line="300" w:lineRule="atLeast"/>
      <w:ind w:left="0" w:right="0" w:firstLine="0"/>
    </w:pPr>
    <w:rPr>
      <w:rFonts w:eastAsiaTheme="minorHAnsi"/>
      <w:b/>
      <w:bCs/>
      <w:color w:val="000000"/>
      <w:sz w:val="32"/>
      <w:szCs w:val="32"/>
      <w:lang w:eastAsia="en-US"/>
    </w:rPr>
  </w:style>
  <w:style w:type="paragraph" w:styleId="TOC4">
    <w:name w:val="toc 4"/>
    <w:basedOn w:val="Normal"/>
    <w:next w:val="Normal"/>
    <w:autoRedefine/>
    <w:uiPriority w:val="39"/>
    <w:unhideWhenUsed/>
    <w:rsid w:val="00346717"/>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346717"/>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346717"/>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346717"/>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346717"/>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346717"/>
    <w:pPr>
      <w:spacing w:before="0"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747623">
      <w:bodyDiv w:val="1"/>
      <w:marLeft w:val="0"/>
      <w:marRight w:val="0"/>
      <w:marTop w:val="0"/>
      <w:marBottom w:val="0"/>
      <w:divBdr>
        <w:top w:val="none" w:sz="0" w:space="0" w:color="auto"/>
        <w:left w:val="none" w:sz="0" w:space="0" w:color="auto"/>
        <w:bottom w:val="none" w:sz="0" w:space="0" w:color="auto"/>
        <w:right w:val="none" w:sz="0" w:space="0" w:color="auto"/>
      </w:divBdr>
    </w:div>
    <w:div w:id="136467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health-professionals/services/medicare/hpos" TargetMode="External"/><Relationship Id="rId13" Type="http://schemas.openxmlformats.org/officeDocument/2006/relationships/hyperlink" Target="https://www.humanservices.gov.au/health-professionals/services/medicare/practice-nurse-incentive-programme" TargetMode="External"/><Relationship Id="rId18" Type="http://schemas.openxmlformats.org/officeDocument/2006/relationships/hyperlink" Target="https://www.humanservices.gov.au/health-professionals/contact-us" TargetMode="External"/><Relationship Id="rId3" Type="http://schemas.openxmlformats.org/officeDocument/2006/relationships/styles" Target="styles.xml"/><Relationship Id="rId21" Type="http://schemas.openxmlformats.org/officeDocument/2006/relationships/hyperlink" Target="http://www.nursingmidwiferyboard.gov.au/Codes-Guidelines-Statements/Professional-standards.aspx" TargetMode="External"/><Relationship Id="rId7" Type="http://schemas.openxmlformats.org/officeDocument/2006/relationships/endnotes" Target="endnotes.xml"/><Relationship Id="rId12" Type="http://schemas.openxmlformats.org/officeDocument/2006/relationships/hyperlink" Target="https://www.humanservices.gov.au/health-professionals/forms/ip005" TargetMode="External"/><Relationship Id="rId17" Type="http://schemas.openxmlformats.org/officeDocument/2006/relationships/hyperlink" Target="https://www.humanservices.gov.au/health-professionals/contac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manservices.gov.au/health-professionals/forms/ip027" TargetMode="External"/><Relationship Id="rId20" Type="http://schemas.openxmlformats.org/officeDocument/2006/relationships/hyperlink" Target="https://www.humanservices.gov.au/health-professionals/services/medicare/hp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health-professionals/services/medicare/hpo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manservices.gov.au/customer/privacy" TargetMode="External"/><Relationship Id="rId23" Type="http://schemas.openxmlformats.org/officeDocument/2006/relationships/footer" Target="footer1.xml"/><Relationship Id="rId10" Type="http://schemas.openxmlformats.org/officeDocument/2006/relationships/hyperlink" Target="https://www.humanservices.gov.au/health-professionals/contact-us" TargetMode="External"/><Relationship Id="rId19" Type="http://schemas.openxmlformats.org/officeDocument/2006/relationships/hyperlink" Target="http://www.nursingmidwiferyboard.gov.au/Codes-Guidelines-Statements/Professional-standards.aspx" TargetMode="External"/><Relationship Id="rId4" Type="http://schemas.openxmlformats.org/officeDocument/2006/relationships/settings" Target="settings.xml"/><Relationship Id="rId9" Type="http://schemas.openxmlformats.org/officeDocument/2006/relationships/hyperlink" Target="https://www.humanservices.gov.au/health-professionals/contact-us" TargetMode="External"/><Relationship Id="rId14" Type="http://schemas.openxmlformats.org/officeDocument/2006/relationships/hyperlink" Target="https://www.humanservices.gov.au/health-professionals/forms/ip007" TargetMode="External"/><Relationship Id="rId22" Type="http://schemas.openxmlformats.org/officeDocument/2006/relationships/hyperlink" Target="http://www.nursingmidwiferyboard.gov.au/Codes-Guidelines-Statements/Professional-standards/nurse-practitioner-standards-of-pract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6969-CED0-41AE-9E6C-A18D4BD9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9159</Words>
  <Characters>52210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Practice Nurse Incentive Program Guidelines</vt:lpstr>
    </vt:vector>
  </TitlesOfParts>
  <Company/>
  <LinksUpToDate>false</LinksUpToDate>
  <CharactersWithSpaces>61247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Nurse Incentive Program Guidelines</dc:title>
  <dc:creator/>
  <cp:lastModifiedBy/>
  <cp:revision>1</cp:revision>
  <dcterms:created xsi:type="dcterms:W3CDTF">2018-02-04T08:35:00Z</dcterms:created>
  <dcterms:modified xsi:type="dcterms:W3CDTF">2018-02-04T08:35:00Z</dcterms:modified>
</cp:coreProperties>
</file>